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0261" w14:textId="77777777" w:rsidR="00512345" w:rsidRPr="00215A68" w:rsidRDefault="00512345" w:rsidP="00512345">
      <w:pPr>
        <w:pStyle w:val="Heading2"/>
        <w:rPr>
          <w:highlight w:val="yellow"/>
        </w:rPr>
      </w:pPr>
      <w:r w:rsidRPr="00215A68">
        <w:rPr>
          <w:highlight w:val="yellow"/>
        </w:rPr>
        <w:t>Promoter Toolkit: A4 and A3 posters</w:t>
      </w:r>
    </w:p>
    <w:p w14:paraId="6E642E88" w14:textId="77777777" w:rsidR="00512345" w:rsidRPr="00215A68" w:rsidRDefault="00512345" w:rsidP="00512345">
      <w:r w:rsidRPr="00215A68">
        <w:t xml:space="preserve"> </w:t>
      </w:r>
      <w:r w:rsidRPr="006C26B3">
        <w:rPr>
          <w:noProof/>
        </w:rPr>
        <w:drawing>
          <wp:inline distT="0" distB="0" distL="0" distR="0" wp14:anchorId="62A2CD53" wp14:editId="1AABD6B3">
            <wp:extent cx="2867025" cy="4056535"/>
            <wp:effectExtent l="0" t="0" r="0" b="1270"/>
            <wp:docPr id="2081774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74524" name=""/>
                    <pic:cNvPicPr/>
                  </pic:nvPicPr>
                  <pic:blipFill>
                    <a:blip r:embed="rId11"/>
                    <a:stretch>
                      <a:fillRect/>
                    </a:stretch>
                  </pic:blipFill>
                  <pic:spPr>
                    <a:xfrm>
                      <a:off x="0" y="0"/>
                      <a:ext cx="2871292" cy="4062572"/>
                    </a:xfrm>
                    <a:prstGeom prst="rect">
                      <a:avLst/>
                    </a:prstGeom>
                  </pic:spPr>
                </pic:pic>
              </a:graphicData>
            </a:graphic>
          </wp:inline>
        </w:drawing>
      </w:r>
    </w:p>
    <w:p w14:paraId="145A1BCF" w14:textId="77777777" w:rsidR="00512345" w:rsidRDefault="00512345" w:rsidP="00512345"/>
    <w:p w14:paraId="5FE9862D" w14:textId="77777777" w:rsidR="00512345" w:rsidRDefault="00512345" w:rsidP="00512345">
      <w:pPr>
        <w:rPr>
          <w:rFonts w:asciiTheme="majorHAnsi" w:eastAsiaTheme="majorEastAsia" w:hAnsiTheme="majorHAnsi" w:cstheme="majorBidi"/>
          <w:color w:val="00625E" w:themeColor="accent1" w:themeShade="BF"/>
          <w:sz w:val="32"/>
          <w:szCs w:val="32"/>
          <w:highlight w:val="yellow"/>
        </w:rPr>
      </w:pPr>
      <w:r>
        <w:rPr>
          <w:highlight w:val="yellow"/>
        </w:rPr>
        <w:br w:type="page"/>
      </w:r>
    </w:p>
    <w:p w14:paraId="1CCD4C1C" w14:textId="77777777" w:rsidR="00512345" w:rsidRPr="00215A68" w:rsidRDefault="00512345" w:rsidP="00512345">
      <w:pPr>
        <w:pStyle w:val="Heading2"/>
        <w:rPr>
          <w:highlight w:val="yellow"/>
        </w:rPr>
      </w:pPr>
      <w:r w:rsidRPr="00215A68">
        <w:rPr>
          <w:highlight w:val="yellow"/>
        </w:rPr>
        <w:lastRenderedPageBreak/>
        <w:t>Promoter Toolkit: Social media posts</w:t>
      </w:r>
    </w:p>
    <w:p w14:paraId="0AED86E5" w14:textId="77777777" w:rsidR="00512345" w:rsidRPr="00215A68" w:rsidRDefault="00512345" w:rsidP="00512345">
      <w:pPr>
        <w:spacing w:before="240" w:after="240" w:line="320" w:lineRule="atLeast"/>
        <w:rPr>
          <w:b/>
          <w:bCs/>
        </w:rPr>
      </w:pPr>
      <w:r w:rsidRPr="00215A68">
        <w:rPr>
          <w:b/>
          <w:bCs/>
        </w:rPr>
        <w:t>Post #1</w:t>
      </w:r>
    </w:p>
    <w:p w14:paraId="555CC5EC" w14:textId="77777777" w:rsidR="00512345" w:rsidRPr="006C26B3" w:rsidRDefault="00512345" w:rsidP="00512345">
      <w:pPr>
        <w:spacing w:before="240" w:after="240" w:line="320" w:lineRule="atLeast"/>
      </w:pPr>
      <w:r w:rsidRPr="006C26B3">
        <w:rPr>
          <w:i/>
          <w:iCs/>
          <w:noProof/>
        </w:rPr>
        <w:drawing>
          <wp:inline distT="0" distB="0" distL="0" distR="0" wp14:anchorId="4D5859EF" wp14:editId="517EF58C">
            <wp:extent cx="1538374" cy="1543050"/>
            <wp:effectExtent l="0" t="0" r="5080" b="0"/>
            <wp:docPr id="122973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3577" name=""/>
                    <pic:cNvPicPr/>
                  </pic:nvPicPr>
                  <pic:blipFill>
                    <a:blip r:embed="rId12"/>
                    <a:stretch>
                      <a:fillRect/>
                    </a:stretch>
                  </pic:blipFill>
                  <pic:spPr>
                    <a:xfrm>
                      <a:off x="0" y="0"/>
                      <a:ext cx="1548285" cy="1552991"/>
                    </a:xfrm>
                    <a:prstGeom prst="rect">
                      <a:avLst/>
                    </a:prstGeom>
                  </pic:spPr>
                </pic:pic>
              </a:graphicData>
            </a:graphic>
          </wp:inline>
        </w:drawing>
      </w:r>
      <w:r>
        <w:t xml:space="preserve"> </w:t>
      </w:r>
    </w:p>
    <w:p w14:paraId="6321DA8E" w14:textId="77777777" w:rsidR="00512345" w:rsidRPr="00215A68" w:rsidRDefault="00512345" w:rsidP="00512345">
      <w:pPr>
        <w:spacing w:before="240" w:after="240" w:line="320" w:lineRule="atLeast"/>
        <w:rPr>
          <w:b/>
          <w:bCs/>
        </w:rPr>
      </w:pPr>
      <w:r>
        <w:rPr>
          <w:b/>
          <w:bCs/>
        </w:rPr>
        <w:t>S</w:t>
      </w:r>
      <w:r w:rsidRPr="00215A68">
        <w:rPr>
          <w:b/>
          <w:bCs/>
        </w:rPr>
        <w:t>tudent experience matters.</w:t>
      </w:r>
    </w:p>
    <w:p w14:paraId="24CA620A" w14:textId="77777777" w:rsidR="00512345" w:rsidRPr="00215A68" w:rsidRDefault="00512345" w:rsidP="00512345">
      <w:pPr>
        <w:spacing w:before="240" w:after="240" w:line="320" w:lineRule="atLeast"/>
      </w:pPr>
      <w:r w:rsidRPr="00215A68">
        <w:t xml:space="preserve">Australia’s national quality regulator for higher education is expanding the student voices </w:t>
      </w:r>
      <w:r>
        <w:t>they</w:t>
      </w:r>
      <w:r w:rsidRPr="00215A68">
        <w:t xml:space="preserve"> engage, beyond elected student representatives.</w:t>
      </w:r>
    </w:p>
    <w:p w14:paraId="031FD50E" w14:textId="77777777" w:rsidR="00512345" w:rsidRPr="00215A68" w:rsidRDefault="00512345" w:rsidP="00512345">
      <w:pPr>
        <w:spacing w:before="240" w:after="240" w:line="320" w:lineRule="atLeast"/>
      </w:pPr>
      <w:r w:rsidRPr="00215A68">
        <w:t>TEQSA is</w:t>
      </w:r>
      <w:r>
        <w:t xml:space="preserve"> seeking</w:t>
      </w:r>
      <w:r w:rsidRPr="00215A68">
        <w:t xml:space="preserve"> </w:t>
      </w:r>
      <w:r>
        <w:t>expressions of interest from</w:t>
      </w:r>
      <w:r w:rsidRPr="00215A68">
        <w:t xml:space="preserve"> students for its first Student Advisory Panel. </w:t>
      </w:r>
      <w:r>
        <w:t xml:space="preserve">Students selected as panel members will discuss matters that affect </w:t>
      </w:r>
      <w:r w:rsidRPr="00215A68">
        <w:t>real student experiences</w:t>
      </w:r>
      <w:r>
        <w:t xml:space="preserve"> and be paid an honorarium</w:t>
      </w:r>
      <w:r w:rsidRPr="00215A68">
        <w:t xml:space="preserve">. </w:t>
      </w:r>
    </w:p>
    <w:p w14:paraId="773D2F22" w14:textId="77777777" w:rsidR="00512345" w:rsidRPr="00215A68" w:rsidRDefault="00512345" w:rsidP="00512345">
      <w:pPr>
        <w:spacing w:before="240" w:after="240" w:line="320" w:lineRule="atLeast"/>
      </w:pPr>
      <w:r w:rsidRPr="00215A68">
        <w:t xml:space="preserve">Have your say at a national level. </w:t>
      </w:r>
    </w:p>
    <w:p w14:paraId="01461C46" w14:textId="77777777" w:rsidR="00512345" w:rsidRPr="00215A68" w:rsidRDefault="00512345" w:rsidP="00512345">
      <w:pPr>
        <w:spacing w:before="240" w:after="240" w:line="320" w:lineRule="atLeast"/>
      </w:pPr>
      <w:r w:rsidRPr="00215A68">
        <w:t xml:space="preserve">Submit your </w:t>
      </w:r>
      <w:r>
        <w:t>e</w:t>
      </w:r>
      <w:r w:rsidRPr="00215A68">
        <w:t xml:space="preserve">xpression of </w:t>
      </w:r>
      <w:r>
        <w:t>i</w:t>
      </w:r>
      <w:r w:rsidRPr="00215A68">
        <w:t>nterest: [elliiottgray.com.au/TEQSA]</w:t>
      </w:r>
    </w:p>
    <w:p w14:paraId="79B769A4" w14:textId="7F86AB44" w:rsidR="00512345" w:rsidRPr="00215A68" w:rsidRDefault="00512345" w:rsidP="00512345">
      <w:pPr>
        <w:spacing w:before="240" w:after="240" w:line="320" w:lineRule="atLeast"/>
        <w:rPr>
          <w:b/>
          <w:bCs/>
        </w:rPr>
      </w:pPr>
      <w:r w:rsidRPr="00215A68">
        <w:rPr>
          <w:b/>
          <w:bCs/>
        </w:rPr>
        <w:t>Post #2</w:t>
      </w:r>
    </w:p>
    <w:p w14:paraId="0C5CABF9" w14:textId="77777777" w:rsidR="00512345" w:rsidRPr="00215A68" w:rsidRDefault="00512345" w:rsidP="00512345">
      <w:pPr>
        <w:spacing w:before="240" w:after="240" w:line="320" w:lineRule="atLeast"/>
        <w:rPr>
          <w:b/>
          <w:bCs/>
        </w:rPr>
      </w:pPr>
      <w:r w:rsidRPr="00215A68">
        <w:rPr>
          <w:b/>
          <w:bCs/>
          <w:noProof/>
        </w:rPr>
        <w:drawing>
          <wp:inline distT="0" distB="0" distL="0" distR="0" wp14:anchorId="0E9EDFE4" wp14:editId="7FFFF41B">
            <wp:extent cx="1476375" cy="1487593"/>
            <wp:effectExtent l="0" t="0" r="0" b="0"/>
            <wp:docPr id="742457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57483" name=""/>
                    <pic:cNvPicPr/>
                  </pic:nvPicPr>
                  <pic:blipFill>
                    <a:blip r:embed="rId13"/>
                    <a:stretch>
                      <a:fillRect/>
                    </a:stretch>
                  </pic:blipFill>
                  <pic:spPr>
                    <a:xfrm>
                      <a:off x="0" y="0"/>
                      <a:ext cx="1481647" cy="1492906"/>
                    </a:xfrm>
                    <a:prstGeom prst="rect">
                      <a:avLst/>
                    </a:prstGeom>
                  </pic:spPr>
                </pic:pic>
              </a:graphicData>
            </a:graphic>
          </wp:inline>
        </w:drawing>
      </w:r>
    </w:p>
    <w:p w14:paraId="5A3E23FB" w14:textId="77777777" w:rsidR="00512345" w:rsidRPr="00215A68" w:rsidRDefault="00512345" w:rsidP="00512345">
      <w:pPr>
        <w:spacing w:before="240" w:after="240" w:line="320" w:lineRule="atLeast"/>
        <w:rPr>
          <w:b/>
          <w:bCs/>
        </w:rPr>
      </w:pPr>
      <w:r w:rsidRPr="00215A68">
        <w:rPr>
          <w:b/>
          <w:bCs/>
        </w:rPr>
        <w:t xml:space="preserve">Great, good, bad or somewhere in between. </w:t>
      </w:r>
      <w:r>
        <w:rPr>
          <w:b/>
          <w:bCs/>
        </w:rPr>
        <w:t>S</w:t>
      </w:r>
      <w:r w:rsidRPr="00215A68">
        <w:rPr>
          <w:b/>
          <w:bCs/>
        </w:rPr>
        <w:t>tudent experience counts.</w:t>
      </w:r>
    </w:p>
    <w:p w14:paraId="1CF73AB0" w14:textId="77777777" w:rsidR="00512345" w:rsidRPr="00215A68" w:rsidRDefault="00512345" w:rsidP="00512345">
      <w:pPr>
        <w:spacing w:before="240" w:after="240" w:line="320" w:lineRule="atLeast"/>
      </w:pPr>
      <w:r w:rsidRPr="00215A68">
        <w:t>Australia’s national quality regulator</w:t>
      </w:r>
      <w:r>
        <w:t>,</w:t>
      </w:r>
      <w:r w:rsidRPr="00215A68">
        <w:t xml:space="preserve"> TEQSA</w:t>
      </w:r>
      <w:r>
        <w:t>,</w:t>
      </w:r>
      <w:r w:rsidRPr="00215A68">
        <w:t xml:space="preserve"> wants </w:t>
      </w:r>
      <w:r>
        <w:t>students to share their lived experience in Australian higher education</w:t>
      </w:r>
      <w:r w:rsidRPr="00215A68">
        <w:t xml:space="preserve"> through its new Student Advisory Panel. </w:t>
      </w:r>
      <w:r>
        <w:t xml:space="preserve">Panel members will be paid an honorarium for their time. TEQSA </w:t>
      </w:r>
      <w:r w:rsidRPr="00215A68">
        <w:t>want</w:t>
      </w:r>
      <w:r>
        <w:t>s</w:t>
      </w:r>
      <w:r w:rsidRPr="00215A68">
        <w:t xml:space="preserve"> to expand the student voices </w:t>
      </w:r>
      <w:r>
        <w:t>they</w:t>
      </w:r>
      <w:r w:rsidRPr="00215A68">
        <w:t xml:space="preserve"> engage, beyond elected student representatives. </w:t>
      </w:r>
    </w:p>
    <w:p w14:paraId="539337FF" w14:textId="77777777" w:rsidR="00512345" w:rsidRPr="00215A68" w:rsidRDefault="00512345" w:rsidP="00512345">
      <w:pPr>
        <w:spacing w:before="240" w:after="240" w:line="320" w:lineRule="atLeast"/>
      </w:pPr>
      <w:r w:rsidRPr="00215A68">
        <w:t xml:space="preserve">Help shape what higher education should be. </w:t>
      </w:r>
    </w:p>
    <w:p w14:paraId="51D8051B" w14:textId="77777777" w:rsidR="00512345" w:rsidRPr="00215A68" w:rsidRDefault="00512345" w:rsidP="00512345">
      <w:pPr>
        <w:spacing w:before="240" w:after="240" w:line="320" w:lineRule="atLeast"/>
      </w:pPr>
      <w:r>
        <w:t>Express your interest</w:t>
      </w:r>
      <w:r w:rsidRPr="00215A68">
        <w:t xml:space="preserve"> now: [elliiottgray.com.au/TEQSA]</w:t>
      </w:r>
    </w:p>
    <w:p w14:paraId="6D9378F4" w14:textId="77777777" w:rsidR="00512345" w:rsidRPr="00215A68" w:rsidRDefault="00512345" w:rsidP="00512345">
      <w:pPr>
        <w:spacing w:before="240" w:after="240" w:line="320" w:lineRule="atLeast"/>
        <w:rPr>
          <w:b/>
          <w:bCs/>
        </w:rPr>
      </w:pPr>
      <w:r w:rsidRPr="00215A68">
        <w:rPr>
          <w:b/>
          <w:bCs/>
        </w:rPr>
        <w:lastRenderedPageBreak/>
        <w:t>Post #3</w:t>
      </w:r>
    </w:p>
    <w:p w14:paraId="4D9423BF" w14:textId="77777777" w:rsidR="00512345" w:rsidRPr="00215A68" w:rsidRDefault="00512345" w:rsidP="00512345">
      <w:pPr>
        <w:spacing w:before="240" w:after="240" w:line="320" w:lineRule="atLeast"/>
        <w:rPr>
          <w:b/>
          <w:bCs/>
        </w:rPr>
      </w:pPr>
      <w:r w:rsidRPr="00215A68">
        <w:rPr>
          <w:b/>
          <w:bCs/>
          <w:noProof/>
        </w:rPr>
        <w:drawing>
          <wp:inline distT="0" distB="0" distL="0" distR="0" wp14:anchorId="1944BE8D" wp14:editId="7D4EDBBE">
            <wp:extent cx="1495425" cy="1495425"/>
            <wp:effectExtent l="0" t="0" r="9525" b="9525"/>
            <wp:docPr id="2020958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58377" name=""/>
                    <pic:cNvPicPr/>
                  </pic:nvPicPr>
                  <pic:blipFill>
                    <a:blip r:embed="rId14"/>
                    <a:stretch>
                      <a:fillRect/>
                    </a:stretch>
                  </pic:blipFill>
                  <pic:spPr>
                    <a:xfrm>
                      <a:off x="0" y="0"/>
                      <a:ext cx="1495509" cy="1495509"/>
                    </a:xfrm>
                    <a:prstGeom prst="rect">
                      <a:avLst/>
                    </a:prstGeom>
                  </pic:spPr>
                </pic:pic>
              </a:graphicData>
            </a:graphic>
          </wp:inline>
        </w:drawing>
      </w:r>
    </w:p>
    <w:p w14:paraId="472C4102" w14:textId="77777777" w:rsidR="00512345" w:rsidRPr="00215A68" w:rsidRDefault="00512345" w:rsidP="00512345">
      <w:pPr>
        <w:spacing w:before="240" w:after="240" w:line="320" w:lineRule="atLeast"/>
        <w:rPr>
          <w:b/>
          <w:bCs/>
        </w:rPr>
      </w:pPr>
      <w:r>
        <w:rPr>
          <w:b/>
          <w:bCs/>
        </w:rPr>
        <w:t>Every student experience counts. Share yours</w:t>
      </w:r>
      <w:r w:rsidRPr="00215A68">
        <w:rPr>
          <w:b/>
          <w:bCs/>
        </w:rPr>
        <w:t>.</w:t>
      </w:r>
    </w:p>
    <w:p w14:paraId="07C6D5C7" w14:textId="77777777" w:rsidR="00512345" w:rsidRPr="00215A68" w:rsidRDefault="00512345" w:rsidP="00512345">
      <w:pPr>
        <w:spacing w:before="240" w:after="240" w:line="320" w:lineRule="atLeast"/>
      </w:pPr>
      <w:r w:rsidRPr="00215A68">
        <w:t xml:space="preserve">TEQSA is expanding the student voices </w:t>
      </w:r>
      <w:r>
        <w:t>they</w:t>
      </w:r>
      <w:r w:rsidRPr="00215A68">
        <w:t xml:space="preserve"> engage, beyond elected student representatives. Australia’s national higher education regulator is looking for students from every hill, beach </w:t>
      </w:r>
      <w:r>
        <w:t>and</w:t>
      </w:r>
      <w:r w:rsidRPr="00215A68">
        <w:t xml:space="preserve"> valley </w:t>
      </w:r>
      <w:r>
        <w:t xml:space="preserve">to share their </w:t>
      </w:r>
      <w:r w:rsidRPr="00215A68">
        <w:t xml:space="preserve">lived experience </w:t>
      </w:r>
      <w:r>
        <w:t>through its new</w:t>
      </w:r>
      <w:r w:rsidRPr="00215A68">
        <w:t xml:space="preserve"> Student Advisory Panel</w:t>
      </w:r>
      <w:r>
        <w:t>. Panel members will be paid an honorarium for their time.</w:t>
      </w:r>
    </w:p>
    <w:p w14:paraId="7203E3EB" w14:textId="77777777" w:rsidR="00512345" w:rsidRPr="00215A68" w:rsidRDefault="00512345" w:rsidP="00512345">
      <w:pPr>
        <w:spacing w:before="240" w:after="240" w:line="320" w:lineRule="atLeast"/>
      </w:pPr>
      <w:r w:rsidRPr="00215A68">
        <w:t xml:space="preserve">If you’ve got views to share, </w:t>
      </w:r>
      <w:r>
        <w:t>you could help shape a better higher education sector</w:t>
      </w:r>
      <w:r w:rsidRPr="00215A68">
        <w:t>.</w:t>
      </w:r>
    </w:p>
    <w:p w14:paraId="1A4BAA28" w14:textId="77777777" w:rsidR="00512345" w:rsidRPr="00215A68" w:rsidRDefault="00512345" w:rsidP="00512345">
      <w:pPr>
        <w:spacing w:before="240" w:after="240" w:line="320" w:lineRule="atLeast"/>
      </w:pPr>
      <w:r>
        <w:t>Express your interest</w:t>
      </w:r>
      <w:r w:rsidRPr="00215A68">
        <w:t>: [elliiottgray.com.au/TEQSA]</w:t>
      </w:r>
    </w:p>
    <w:p w14:paraId="63CB76B4" w14:textId="77777777" w:rsidR="00512345" w:rsidRPr="00215A68" w:rsidRDefault="00512345" w:rsidP="00512345"/>
    <w:p w14:paraId="0F95BDBF" w14:textId="77777777" w:rsidR="00512345" w:rsidRDefault="00512345" w:rsidP="00512345">
      <w:pPr>
        <w:rPr>
          <w:rFonts w:asciiTheme="majorHAnsi" w:eastAsiaTheme="majorEastAsia" w:hAnsiTheme="majorHAnsi" w:cstheme="majorBidi"/>
          <w:color w:val="00625E" w:themeColor="accent1" w:themeShade="BF"/>
          <w:sz w:val="32"/>
          <w:szCs w:val="32"/>
          <w:highlight w:val="yellow"/>
        </w:rPr>
      </w:pPr>
      <w:r>
        <w:rPr>
          <w:highlight w:val="yellow"/>
        </w:rPr>
        <w:br w:type="page"/>
      </w:r>
    </w:p>
    <w:p w14:paraId="7E9D0081" w14:textId="77777777" w:rsidR="00512345" w:rsidRPr="00215A68" w:rsidRDefault="00512345" w:rsidP="00512345">
      <w:pPr>
        <w:pStyle w:val="Heading2"/>
        <w:rPr>
          <w:highlight w:val="yellow"/>
        </w:rPr>
      </w:pPr>
      <w:r w:rsidRPr="00215A68">
        <w:rPr>
          <w:highlight w:val="yellow"/>
        </w:rPr>
        <w:lastRenderedPageBreak/>
        <w:t>Promoter Toolkit: Student talking points</w:t>
      </w:r>
    </w:p>
    <w:p w14:paraId="682956F0" w14:textId="77777777" w:rsidR="00512345" w:rsidRPr="00215A68" w:rsidRDefault="00512345" w:rsidP="00512345">
      <w:pPr>
        <w:pStyle w:val="ListParagraph"/>
        <w:numPr>
          <w:ilvl w:val="0"/>
          <w:numId w:val="14"/>
        </w:numPr>
        <w:spacing w:before="0" w:after="160" w:line="278" w:lineRule="auto"/>
      </w:pPr>
      <w:r>
        <w:t xml:space="preserve">TEQSA is </w:t>
      </w:r>
      <w:r w:rsidRPr="00215A68">
        <w:t xml:space="preserve">expanding the student voices </w:t>
      </w:r>
      <w:r>
        <w:t>they</w:t>
      </w:r>
      <w:r w:rsidRPr="00215A68">
        <w:t xml:space="preserve"> engage, beyond elected student representatives.</w:t>
      </w:r>
    </w:p>
    <w:p w14:paraId="14F91B9E" w14:textId="77777777" w:rsidR="00512345" w:rsidRPr="00215A68" w:rsidRDefault="00512345" w:rsidP="00512345">
      <w:pPr>
        <w:pStyle w:val="ListParagraph"/>
        <w:numPr>
          <w:ilvl w:val="0"/>
          <w:numId w:val="14"/>
        </w:numPr>
        <w:spacing w:before="0" w:after="160" w:line="278" w:lineRule="auto"/>
      </w:pPr>
      <w:r w:rsidRPr="00215A68">
        <w:t xml:space="preserve">TEQSA is establishing a Student Advisory Panel, of 8-10 students </w:t>
      </w:r>
      <w:r>
        <w:t xml:space="preserve">with </w:t>
      </w:r>
      <w:r w:rsidRPr="00215A68">
        <w:t>diverse backgrounds</w:t>
      </w:r>
      <w:r>
        <w:t>, diverse experiences and from a range of higher education institutions</w:t>
      </w:r>
      <w:r w:rsidRPr="00215A68">
        <w:t xml:space="preserve"> across the country. </w:t>
      </w:r>
    </w:p>
    <w:p w14:paraId="33A53B7D" w14:textId="77777777" w:rsidR="00512345" w:rsidRPr="00215A68" w:rsidRDefault="00512345" w:rsidP="00512345">
      <w:pPr>
        <w:pStyle w:val="ListParagraph"/>
        <w:numPr>
          <w:ilvl w:val="0"/>
          <w:numId w:val="14"/>
        </w:numPr>
        <w:spacing w:before="0" w:after="160" w:line="278" w:lineRule="auto"/>
      </w:pPr>
      <w:r w:rsidRPr="00215A68">
        <w:t xml:space="preserve">All students, from undergraduate to post-graduate and from right across </w:t>
      </w:r>
      <w:r>
        <w:t>the country</w:t>
      </w:r>
      <w:r w:rsidRPr="00215A68">
        <w:t xml:space="preserve">, are encouraged to </w:t>
      </w:r>
      <w:r>
        <w:t>express interest in getting involved</w:t>
      </w:r>
      <w:r w:rsidRPr="00215A68">
        <w:t xml:space="preserve"> – the only requirement is that you are currently enrolled as a student at a</w:t>
      </w:r>
      <w:r>
        <w:t>n Australian</w:t>
      </w:r>
      <w:r w:rsidRPr="00215A68">
        <w:t xml:space="preserve"> higher education provider.  Students do not need to be in student leadership positions to apply. </w:t>
      </w:r>
    </w:p>
    <w:p w14:paraId="64E80200" w14:textId="77777777" w:rsidR="00512345" w:rsidRPr="00215A68" w:rsidRDefault="00512345" w:rsidP="00512345">
      <w:pPr>
        <w:pStyle w:val="ListParagraph"/>
        <w:numPr>
          <w:ilvl w:val="0"/>
          <w:numId w:val="14"/>
        </w:numPr>
        <w:spacing w:before="0" w:after="160" w:line="278" w:lineRule="auto"/>
      </w:pPr>
      <w:r w:rsidRPr="00215A68">
        <w:t xml:space="preserve">Students of all backgrounds and experiences will have valuable lived experiences to share. </w:t>
      </w:r>
    </w:p>
    <w:p w14:paraId="33A1A0CD" w14:textId="77777777" w:rsidR="00512345" w:rsidRPr="00215A68" w:rsidRDefault="00512345" w:rsidP="00512345">
      <w:pPr>
        <w:pStyle w:val="ListParagraph"/>
        <w:numPr>
          <w:ilvl w:val="0"/>
          <w:numId w:val="14"/>
        </w:numPr>
        <w:spacing w:before="0" w:after="160" w:line="278" w:lineRule="auto"/>
      </w:pPr>
      <w:r w:rsidRPr="00215A68">
        <w:t xml:space="preserve">TEQSA strongly encourages </w:t>
      </w:r>
      <w:r>
        <w:t>expressions of interest</w:t>
      </w:r>
      <w:r w:rsidRPr="00215A68">
        <w:t xml:space="preserve"> from students with diverse backgrounds</w:t>
      </w:r>
      <w:r>
        <w:t>, diverse</w:t>
      </w:r>
      <w:r w:rsidRPr="00215A68">
        <w:t xml:space="preserve"> experiences</w:t>
      </w:r>
      <w:r>
        <w:t xml:space="preserve"> and from a range of higher education providers</w:t>
      </w:r>
      <w:r w:rsidRPr="00215A68">
        <w:t>, including students who identify with one or more of these perspectives:</w:t>
      </w:r>
    </w:p>
    <w:p w14:paraId="5AA2BA67" w14:textId="77777777" w:rsidR="00512345" w:rsidRPr="00215A68" w:rsidRDefault="00512345" w:rsidP="00512345">
      <w:pPr>
        <w:pStyle w:val="ListParagraph"/>
        <w:numPr>
          <w:ilvl w:val="1"/>
          <w:numId w:val="14"/>
        </w:numPr>
        <w:spacing w:before="0" w:after="160" w:line="278" w:lineRule="auto"/>
      </w:pPr>
      <w:r w:rsidRPr="00215A68">
        <w:t>students in regional and remote areas, or who are using a University Study Hub to undertake their studies</w:t>
      </w:r>
    </w:p>
    <w:p w14:paraId="2FD5EAC5" w14:textId="77777777" w:rsidR="00512345" w:rsidRPr="00215A68" w:rsidRDefault="00512345" w:rsidP="00512345">
      <w:pPr>
        <w:pStyle w:val="ListParagraph"/>
        <w:numPr>
          <w:ilvl w:val="1"/>
          <w:numId w:val="14"/>
        </w:numPr>
        <w:spacing w:before="0" w:after="160" w:line="278" w:lineRule="auto"/>
      </w:pPr>
      <w:r w:rsidRPr="00215A68">
        <w:t>Aboriginal and Torres Strait Islander students</w:t>
      </w:r>
    </w:p>
    <w:p w14:paraId="3C9C49E1" w14:textId="77777777" w:rsidR="00512345" w:rsidRPr="00215A68" w:rsidRDefault="00512345" w:rsidP="00512345">
      <w:pPr>
        <w:pStyle w:val="ListParagraph"/>
        <w:numPr>
          <w:ilvl w:val="1"/>
          <w:numId w:val="14"/>
        </w:numPr>
        <w:spacing w:before="0" w:after="160" w:line="278" w:lineRule="auto"/>
      </w:pPr>
      <w:r w:rsidRPr="00215A68">
        <w:t>international students</w:t>
      </w:r>
    </w:p>
    <w:p w14:paraId="52CB0D10" w14:textId="77777777" w:rsidR="00512345" w:rsidRPr="00215A68" w:rsidRDefault="00512345" w:rsidP="00512345">
      <w:pPr>
        <w:pStyle w:val="ListParagraph"/>
        <w:numPr>
          <w:ilvl w:val="1"/>
          <w:numId w:val="14"/>
        </w:numPr>
        <w:spacing w:before="0" w:after="160" w:line="278" w:lineRule="auto"/>
      </w:pPr>
      <w:r w:rsidRPr="00215A68">
        <w:t>first in family students</w:t>
      </w:r>
    </w:p>
    <w:p w14:paraId="52C0EDDC" w14:textId="77777777" w:rsidR="00512345" w:rsidRPr="00215A68" w:rsidRDefault="00512345" w:rsidP="00512345">
      <w:pPr>
        <w:pStyle w:val="ListParagraph"/>
        <w:numPr>
          <w:ilvl w:val="1"/>
          <w:numId w:val="14"/>
        </w:numPr>
        <w:spacing w:before="0" w:after="160" w:line="278" w:lineRule="auto"/>
      </w:pPr>
      <w:r w:rsidRPr="00215A68">
        <w:t>students with lived experience of disability, mental health and/or neurodivergence</w:t>
      </w:r>
    </w:p>
    <w:p w14:paraId="4E7202F6" w14:textId="77777777" w:rsidR="00512345" w:rsidRPr="00215A68" w:rsidRDefault="00512345" w:rsidP="00512345">
      <w:pPr>
        <w:pStyle w:val="ListParagraph"/>
        <w:numPr>
          <w:ilvl w:val="1"/>
          <w:numId w:val="14"/>
        </w:numPr>
        <w:spacing w:before="0" w:after="160" w:line="278" w:lineRule="auto"/>
      </w:pPr>
      <w:r w:rsidRPr="00215A68">
        <w:t>LGBTQI+ students</w:t>
      </w:r>
    </w:p>
    <w:p w14:paraId="06E882BE" w14:textId="77777777" w:rsidR="00512345" w:rsidRPr="00215A68" w:rsidRDefault="00512345" w:rsidP="00512345">
      <w:pPr>
        <w:pStyle w:val="ListParagraph"/>
        <w:numPr>
          <w:ilvl w:val="1"/>
          <w:numId w:val="14"/>
        </w:numPr>
        <w:spacing w:before="0" w:after="160" w:line="278" w:lineRule="auto"/>
      </w:pPr>
      <w:r w:rsidRPr="00215A68">
        <w:t>students over the age of 21 or students who have returned to study after a break of 7 years or more</w:t>
      </w:r>
    </w:p>
    <w:p w14:paraId="20EC71AA" w14:textId="77777777" w:rsidR="00512345" w:rsidRPr="00215A68" w:rsidRDefault="00512345" w:rsidP="00512345">
      <w:pPr>
        <w:pStyle w:val="ListParagraph"/>
        <w:numPr>
          <w:ilvl w:val="1"/>
          <w:numId w:val="14"/>
        </w:numPr>
        <w:spacing w:before="0" w:after="160" w:line="278" w:lineRule="auto"/>
      </w:pPr>
      <w:r w:rsidRPr="00215A68">
        <w:t>part-time students</w:t>
      </w:r>
    </w:p>
    <w:p w14:paraId="29D15AE7" w14:textId="77777777" w:rsidR="00512345" w:rsidRPr="00215A68" w:rsidRDefault="00512345" w:rsidP="00512345">
      <w:pPr>
        <w:pStyle w:val="ListParagraph"/>
        <w:numPr>
          <w:ilvl w:val="1"/>
          <w:numId w:val="14"/>
        </w:numPr>
        <w:spacing w:before="0" w:after="160" w:line="278" w:lineRule="auto"/>
      </w:pPr>
      <w:r w:rsidRPr="00215A68">
        <w:t xml:space="preserve">students undertaking course work or research. </w:t>
      </w:r>
    </w:p>
    <w:p w14:paraId="5F992915" w14:textId="77777777" w:rsidR="00512345" w:rsidRPr="00215A68" w:rsidRDefault="00512345" w:rsidP="00512345">
      <w:pPr>
        <w:pStyle w:val="ListParagraph"/>
        <w:numPr>
          <w:ilvl w:val="0"/>
          <w:numId w:val="14"/>
        </w:numPr>
        <w:spacing w:before="0" w:after="160" w:line="278" w:lineRule="auto"/>
      </w:pPr>
      <w:r w:rsidRPr="00215A68">
        <w:t xml:space="preserve">Who is TEQSA? </w:t>
      </w:r>
    </w:p>
    <w:p w14:paraId="11C9EA51" w14:textId="77777777" w:rsidR="00512345" w:rsidRPr="00215A68" w:rsidRDefault="00512345" w:rsidP="00512345">
      <w:pPr>
        <w:pStyle w:val="ListParagraph"/>
        <w:numPr>
          <w:ilvl w:val="1"/>
          <w:numId w:val="14"/>
        </w:numPr>
        <w:spacing w:before="0" w:after="160" w:line="278" w:lineRule="auto"/>
      </w:pPr>
      <w:r w:rsidRPr="00215A68">
        <w:t>TEQSA is the higher education regulator. This national agency’s main job is to make sure students’ interests are protected, and that they attain a quality academic award with academic integrity supported by a positive student experience. Another important job TEQSA does is to watch for, and identify</w:t>
      </w:r>
      <w:r>
        <w:t>,</w:t>
      </w:r>
      <w:r w:rsidRPr="00215A68">
        <w:t xml:space="preserve"> any emerging risks that can impact students and the integrity and reputation of Australian higher education.</w:t>
      </w:r>
    </w:p>
    <w:p w14:paraId="0A2ED72F" w14:textId="77777777" w:rsidR="00512345" w:rsidRPr="00215A68" w:rsidRDefault="00512345" w:rsidP="00512345">
      <w:pPr>
        <w:pStyle w:val="ListParagraph"/>
        <w:numPr>
          <w:ilvl w:val="0"/>
          <w:numId w:val="14"/>
        </w:numPr>
        <w:spacing w:before="0" w:after="160" w:line="278" w:lineRule="auto"/>
      </w:pPr>
      <w:r w:rsidRPr="00215A68">
        <w:t>TEQSA uses a lot of information to carry out their work, and they want to establish a Student Advisory Panel to tap into the lived experiences of real students.</w:t>
      </w:r>
    </w:p>
    <w:p w14:paraId="4201CA91" w14:textId="77777777" w:rsidR="00512345" w:rsidRDefault="00512345" w:rsidP="00512345">
      <w:pPr>
        <w:pStyle w:val="ListParagraph"/>
        <w:numPr>
          <w:ilvl w:val="0"/>
          <w:numId w:val="14"/>
        </w:numPr>
        <w:spacing w:before="0" w:after="160" w:line="278" w:lineRule="auto"/>
      </w:pPr>
      <w:r>
        <w:t>Students</w:t>
      </w:r>
      <w:r w:rsidRPr="00DE770D">
        <w:t xml:space="preserve"> will be appointed</w:t>
      </w:r>
      <w:r>
        <w:t xml:space="preserve"> to the Student Advisory Panel</w:t>
      </w:r>
      <w:r w:rsidRPr="00DE770D">
        <w:t xml:space="preserve"> for a 1-year term and invited to express interest in extending their term for a second year at the conclusion of the first year.</w:t>
      </w:r>
    </w:p>
    <w:p w14:paraId="59C4E1C2" w14:textId="77777777" w:rsidR="00512345" w:rsidRPr="00215A68" w:rsidRDefault="00512345" w:rsidP="00512345">
      <w:pPr>
        <w:pStyle w:val="ListParagraph"/>
        <w:numPr>
          <w:ilvl w:val="0"/>
          <w:numId w:val="14"/>
        </w:numPr>
        <w:spacing w:before="0" w:after="160" w:line="278" w:lineRule="auto"/>
      </w:pPr>
      <w:r w:rsidRPr="00215A68">
        <w:t>Student</w:t>
      </w:r>
      <w:r>
        <w:t xml:space="preserve">s selected to be a panel member </w:t>
      </w:r>
      <w:r w:rsidRPr="00215A68">
        <w:t xml:space="preserve">will meet 4 times a year (both online and in person), and will be paid </w:t>
      </w:r>
      <w:r>
        <w:t xml:space="preserve">an honorarium </w:t>
      </w:r>
      <w:r w:rsidRPr="00215A68">
        <w:t xml:space="preserve">for their time. </w:t>
      </w:r>
    </w:p>
    <w:p w14:paraId="7115BB72" w14:textId="77777777" w:rsidR="00512345" w:rsidRPr="00215A68" w:rsidRDefault="00512345" w:rsidP="00512345">
      <w:pPr>
        <w:pStyle w:val="ListParagraph"/>
        <w:numPr>
          <w:ilvl w:val="0"/>
          <w:numId w:val="14"/>
        </w:numPr>
        <w:spacing w:before="0" w:after="160" w:line="278" w:lineRule="auto"/>
      </w:pPr>
      <w:r w:rsidRPr="00215A68">
        <w:t xml:space="preserve">If you're interested in what happens 'on the ground' at your campus and making the quality of higher education better, </w:t>
      </w:r>
      <w:r>
        <w:t>express your interest in joining</w:t>
      </w:r>
      <w:r w:rsidRPr="00215A68">
        <w:t xml:space="preserve"> TEQSA's Student Advisory Panel.</w:t>
      </w:r>
    </w:p>
    <w:p w14:paraId="69C4FACC" w14:textId="77777777" w:rsidR="00512345" w:rsidRPr="00215A68" w:rsidRDefault="00512345" w:rsidP="00512345">
      <w:pPr>
        <w:pStyle w:val="ListParagraph"/>
        <w:numPr>
          <w:ilvl w:val="0"/>
          <w:numId w:val="14"/>
        </w:numPr>
        <w:spacing w:before="0" w:after="160" w:line="278" w:lineRule="auto"/>
      </w:pPr>
      <w:r>
        <w:lastRenderedPageBreak/>
        <w:t>Submitting an expression of interest</w:t>
      </w:r>
      <w:r w:rsidRPr="00215A68">
        <w:t xml:space="preserve"> is easy, free and all online. Visit </w:t>
      </w:r>
      <w:r w:rsidRPr="00215A68">
        <w:rPr>
          <w:b/>
          <w:bCs/>
        </w:rPr>
        <w:t>elliottgray.com.au/TEQSA</w:t>
      </w:r>
      <w:r w:rsidRPr="00215A68">
        <w:t xml:space="preserve"> for more details.</w:t>
      </w:r>
    </w:p>
    <w:p w14:paraId="44D66403" w14:textId="77777777" w:rsidR="00512345" w:rsidRPr="00215A68" w:rsidRDefault="00512345" w:rsidP="00512345">
      <w:r w:rsidRPr="00215A68">
        <w:t>[ENDS]</w:t>
      </w:r>
    </w:p>
    <w:p w14:paraId="6FC7A340" w14:textId="77777777" w:rsidR="00512345" w:rsidRPr="00215A68" w:rsidRDefault="00512345" w:rsidP="00512345">
      <w:pPr>
        <w:rPr>
          <w:rFonts w:asciiTheme="majorHAnsi" w:eastAsiaTheme="majorEastAsia" w:hAnsiTheme="majorHAnsi" w:cstheme="majorBidi"/>
          <w:color w:val="00625E" w:themeColor="accent1" w:themeShade="BF"/>
          <w:sz w:val="32"/>
          <w:szCs w:val="32"/>
          <w:highlight w:val="yellow"/>
        </w:rPr>
      </w:pPr>
      <w:r w:rsidRPr="00215A68">
        <w:rPr>
          <w:highlight w:val="yellow"/>
        </w:rPr>
        <w:br w:type="page"/>
      </w:r>
    </w:p>
    <w:p w14:paraId="58CEB81F" w14:textId="77777777" w:rsidR="00512345" w:rsidRPr="00215A68" w:rsidRDefault="00512345" w:rsidP="00512345">
      <w:pPr>
        <w:pStyle w:val="Heading2"/>
        <w:rPr>
          <w:highlight w:val="yellow"/>
        </w:rPr>
      </w:pPr>
      <w:r w:rsidRPr="00215A68">
        <w:rPr>
          <w:highlight w:val="yellow"/>
        </w:rPr>
        <w:lastRenderedPageBreak/>
        <w:t xml:space="preserve">Promoter Toolkit: Email banner and copy </w:t>
      </w:r>
    </w:p>
    <w:p w14:paraId="0D7A706E" w14:textId="77777777" w:rsidR="00512345" w:rsidRPr="00215A68" w:rsidRDefault="00512345" w:rsidP="00512345">
      <w:r w:rsidRPr="00215A68">
        <w:rPr>
          <w:noProof/>
        </w:rPr>
        <w:drawing>
          <wp:inline distT="0" distB="0" distL="0" distR="0" wp14:anchorId="555114E3" wp14:editId="229B34E3">
            <wp:extent cx="4152900" cy="1310837"/>
            <wp:effectExtent l="0" t="0" r="0" b="3810"/>
            <wp:docPr id="1696018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18993" name=""/>
                    <pic:cNvPicPr/>
                  </pic:nvPicPr>
                  <pic:blipFill>
                    <a:blip r:embed="rId15"/>
                    <a:stretch>
                      <a:fillRect/>
                    </a:stretch>
                  </pic:blipFill>
                  <pic:spPr>
                    <a:xfrm>
                      <a:off x="0" y="0"/>
                      <a:ext cx="4177314" cy="1318543"/>
                    </a:xfrm>
                    <a:prstGeom prst="rect">
                      <a:avLst/>
                    </a:prstGeom>
                  </pic:spPr>
                </pic:pic>
              </a:graphicData>
            </a:graphic>
          </wp:inline>
        </w:drawing>
      </w:r>
    </w:p>
    <w:p w14:paraId="2D37E668" w14:textId="77777777" w:rsidR="00512345" w:rsidRPr="00215A68" w:rsidRDefault="00512345" w:rsidP="00512345">
      <w:pPr>
        <w:rPr>
          <w:b/>
          <w:bCs/>
        </w:rPr>
      </w:pPr>
      <w:r w:rsidRPr="00215A68">
        <w:rPr>
          <w:b/>
          <w:bCs/>
        </w:rPr>
        <w:t>[Email to forward on to a student]</w:t>
      </w:r>
    </w:p>
    <w:p w14:paraId="548EF155" w14:textId="77777777" w:rsidR="00512345" w:rsidRPr="00215A68" w:rsidRDefault="00512345" w:rsidP="00512345">
      <w:pPr>
        <w:rPr>
          <w:b/>
          <w:bCs/>
        </w:rPr>
      </w:pPr>
      <w:r w:rsidRPr="00215A68">
        <w:rPr>
          <w:b/>
          <w:bCs/>
        </w:rPr>
        <w:t xml:space="preserve">Subject line: Thought you might be interested! </w:t>
      </w:r>
      <w:r>
        <w:rPr>
          <w:b/>
          <w:bCs/>
        </w:rPr>
        <w:t>S</w:t>
      </w:r>
      <w:r w:rsidRPr="00215A68">
        <w:rPr>
          <w:b/>
          <w:bCs/>
        </w:rPr>
        <w:t>tudent voices wanted at a national level</w:t>
      </w:r>
      <w:r>
        <w:rPr>
          <w:b/>
          <w:bCs/>
        </w:rPr>
        <w:t>.</w:t>
      </w:r>
    </w:p>
    <w:p w14:paraId="0ACD23A6" w14:textId="77777777" w:rsidR="00512345" w:rsidRPr="00215A68" w:rsidRDefault="00512345" w:rsidP="00512345">
      <w:r w:rsidRPr="00215A68">
        <w:t xml:space="preserve">TEQSA (Australia’s higher education regulator) is expanding the student voices </w:t>
      </w:r>
      <w:r>
        <w:t>they</w:t>
      </w:r>
      <w:r w:rsidRPr="00215A68">
        <w:t xml:space="preserve"> engage, beyond elected student representatives.</w:t>
      </w:r>
    </w:p>
    <w:p w14:paraId="7ADD3BA4" w14:textId="77777777" w:rsidR="00512345" w:rsidRPr="00215A68" w:rsidRDefault="00512345" w:rsidP="00512345">
      <w:r w:rsidRPr="00215A68">
        <w:t xml:space="preserve">TEQSA is establishing its first Student Advisory Panel and students from right across Australia are being invited to express their interest. </w:t>
      </w:r>
    </w:p>
    <w:p w14:paraId="14460674" w14:textId="77777777" w:rsidR="00512345" w:rsidRPr="00215A68" w:rsidRDefault="00512345" w:rsidP="00512345">
      <w:r w:rsidRPr="00215A68">
        <w:t xml:space="preserve">This is a unique opportunity to contribute directly to national conversations about student experiences, safety and wellbeing, quality of higher education, equity and access. </w:t>
      </w:r>
    </w:p>
    <w:p w14:paraId="5D725DFD" w14:textId="77777777" w:rsidR="00512345" w:rsidRPr="00215A68" w:rsidRDefault="00512345" w:rsidP="00512345">
      <w:r w:rsidRPr="00215A68">
        <w:t>Panel members will share their lived student experiences to help inform TEQSA's work across higher educatio</w:t>
      </w:r>
      <w:r>
        <w:t>n and will be paid an honorarium for their time.</w:t>
      </w:r>
    </w:p>
    <w:p w14:paraId="078CA88D" w14:textId="77777777" w:rsidR="00512345" w:rsidRPr="00215A68" w:rsidRDefault="00512345" w:rsidP="00512345">
      <w:r w:rsidRPr="00215A68">
        <w:t>If you care about improving higher education, not just at your higher education institution, but across the country, this is your chance to be part of it.</w:t>
      </w:r>
    </w:p>
    <w:p w14:paraId="3A2AE371" w14:textId="77777777" w:rsidR="00512345" w:rsidRPr="00215A68" w:rsidRDefault="00512345" w:rsidP="00512345">
      <w:r>
        <w:t xml:space="preserve">Submitting and expression of interest </w:t>
      </w:r>
      <w:r w:rsidRPr="00215A68">
        <w:t xml:space="preserve">is easy, free and all online. Visit </w:t>
      </w:r>
      <w:r w:rsidRPr="00215A68">
        <w:rPr>
          <w:b/>
          <w:bCs/>
        </w:rPr>
        <w:t>elliottgray.com.au/TEQSA</w:t>
      </w:r>
      <w:r w:rsidRPr="00215A68">
        <w:t xml:space="preserve"> for more details.</w:t>
      </w:r>
    </w:p>
    <w:p w14:paraId="1A644510" w14:textId="77777777" w:rsidR="00512345" w:rsidRPr="00215A68" w:rsidRDefault="00512345" w:rsidP="00512345">
      <w:r w:rsidRPr="00215A68">
        <w:t>[ENDS]</w:t>
      </w:r>
      <w:r w:rsidRPr="00215A68">
        <w:br w:type="page"/>
      </w:r>
    </w:p>
    <w:p w14:paraId="13BA3694" w14:textId="77777777" w:rsidR="00512345" w:rsidRPr="00215A68" w:rsidRDefault="00512345" w:rsidP="00512345">
      <w:pPr>
        <w:pStyle w:val="Heading2"/>
        <w:rPr>
          <w:highlight w:val="yellow"/>
        </w:rPr>
      </w:pPr>
      <w:r w:rsidRPr="00215A68">
        <w:rPr>
          <w:highlight w:val="yellow"/>
        </w:rPr>
        <w:lastRenderedPageBreak/>
        <w:t>Promoter Toolkit: BLOG 1 (450 words): "What is the TEQSA Student Advisory Panel?"</w:t>
      </w:r>
    </w:p>
    <w:p w14:paraId="69CC9558" w14:textId="77777777" w:rsidR="00512345" w:rsidRPr="00215A68" w:rsidRDefault="00512345" w:rsidP="00512345">
      <w:pPr>
        <w:numPr>
          <w:ilvl w:val="0"/>
          <w:numId w:val="15"/>
        </w:numPr>
        <w:spacing w:before="0" w:after="160" w:line="278" w:lineRule="auto"/>
        <w:rPr>
          <w:b/>
          <w:bCs/>
        </w:rPr>
      </w:pPr>
      <w:r w:rsidRPr="00215A68">
        <w:rPr>
          <w:b/>
          <w:bCs/>
        </w:rPr>
        <w:t>What TEQSA is in plain English</w:t>
      </w:r>
    </w:p>
    <w:p w14:paraId="688A390B" w14:textId="77777777" w:rsidR="00512345" w:rsidRPr="00215A68" w:rsidRDefault="00512345" w:rsidP="00512345">
      <w:pPr>
        <w:numPr>
          <w:ilvl w:val="0"/>
          <w:numId w:val="15"/>
        </w:numPr>
        <w:spacing w:before="0" w:after="160" w:line="278" w:lineRule="auto"/>
        <w:rPr>
          <w:b/>
          <w:bCs/>
        </w:rPr>
      </w:pPr>
      <w:r w:rsidRPr="00215A68">
        <w:rPr>
          <w:b/>
          <w:bCs/>
        </w:rPr>
        <w:t>What the panel does</w:t>
      </w:r>
    </w:p>
    <w:p w14:paraId="19BB404D" w14:textId="77777777" w:rsidR="00512345" w:rsidRPr="00215A68" w:rsidRDefault="00512345" w:rsidP="00512345">
      <w:pPr>
        <w:numPr>
          <w:ilvl w:val="0"/>
          <w:numId w:val="15"/>
        </w:numPr>
        <w:spacing w:before="0" w:after="160" w:line="278" w:lineRule="auto"/>
        <w:rPr>
          <w:b/>
          <w:bCs/>
        </w:rPr>
      </w:pPr>
      <w:r w:rsidRPr="00215A68">
        <w:rPr>
          <w:b/>
          <w:bCs/>
        </w:rPr>
        <w:t>Who they're looking for</w:t>
      </w:r>
    </w:p>
    <w:p w14:paraId="3F9E93A1" w14:textId="77777777" w:rsidR="00512345" w:rsidRPr="00215A68" w:rsidRDefault="00512345" w:rsidP="00512345">
      <w:pPr>
        <w:numPr>
          <w:ilvl w:val="0"/>
          <w:numId w:val="15"/>
        </w:numPr>
        <w:spacing w:before="0" w:after="160" w:line="278" w:lineRule="auto"/>
        <w:rPr>
          <w:b/>
          <w:bCs/>
        </w:rPr>
      </w:pPr>
      <w:r w:rsidRPr="00215A68">
        <w:rPr>
          <w:b/>
          <w:bCs/>
        </w:rPr>
        <w:t>Link to apply at the end (with a CTA)</w:t>
      </w:r>
    </w:p>
    <w:p w14:paraId="4192502B" w14:textId="77777777" w:rsidR="00512345" w:rsidRPr="00215A68" w:rsidRDefault="00512345" w:rsidP="00512345">
      <w:r w:rsidRPr="00215A68">
        <w:t>TEQSA is Australia’s national independent regulator of higher education.</w:t>
      </w:r>
      <w:r>
        <w:t xml:space="preserve"> A</w:t>
      </w:r>
      <w:r w:rsidRPr="00215A68">
        <w:t>ll higher education providers (universities, university colleges and institutes of higher education) have to register with TEQSA to operate as a place of learning. Without a registration, a provider can’t call themselves a university (for example), offer accredited courses to students or award them a degree.</w:t>
      </w:r>
    </w:p>
    <w:p w14:paraId="251A62CE" w14:textId="77777777" w:rsidR="00512345" w:rsidRPr="00215A68" w:rsidRDefault="00512345" w:rsidP="00512345">
      <w:r w:rsidRPr="00215A68">
        <w:t xml:space="preserve">As a regulator, TEQSA operates under a framework of legislation and standards that all providers must meet. There are a few, but the main one for providers is the </w:t>
      </w:r>
      <w:r w:rsidRPr="005F0EDC">
        <w:rPr>
          <w:i/>
          <w:iCs/>
        </w:rPr>
        <w:t>Higher Education Standards Framework 2021</w:t>
      </w:r>
      <w:r w:rsidRPr="00215A68">
        <w:t>, more commonly known as the Threshold Standards. It’s like a checklist of everything a provider needs to do to run a university, a college or an institute</w:t>
      </w:r>
      <w:r>
        <w:t xml:space="preserve"> of higher education</w:t>
      </w:r>
      <w:r w:rsidRPr="00215A68">
        <w:t xml:space="preserve"> to make it a good place to study.</w:t>
      </w:r>
    </w:p>
    <w:p w14:paraId="004D42DF" w14:textId="77777777" w:rsidR="00512345" w:rsidRPr="00215A68" w:rsidRDefault="00512345" w:rsidP="00512345">
      <w:r w:rsidRPr="00215A68">
        <w:t>TEQSA's main job is to make sure students are protected and that their degree is valued as being supported for academic integrity and quality. Another important job they do is to watch for, and identify, any risks can impact students and the integrity and reputation of Australian higher education.</w:t>
      </w:r>
    </w:p>
    <w:p w14:paraId="2F0B03CF" w14:textId="77777777" w:rsidR="00512345" w:rsidRPr="00215A68" w:rsidRDefault="00512345" w:rsidP="00512345">
      <w:r w:rsidRPr="00215A68">
        <w:rPr>
          <w:b/>
          <w:bCs/>
        </w:rPr>
        <w:t>They enforce the rules:</w:t>
      </w:r>
      <w:r w:rsidRPr="00215A68">
        <w:t xml:space="preserve"> TEQSA makes sure all providers meet standards (like a checklist) – things like fair assessments and good student support.</w:t>
      </w:r>
    </w:p>
    <w:p w14:paraId="549DE8C7" w14:textId="77777777" w:rsidR="00512345" w:rsidRPr="00215A68" w:rsidRDefault="00512345" w:rsidP="00512345">
      <w:r w:rsidRPr="00215A68">
        <w:rPr>
          <w:b/>
          <w:bCs/>
        </w:rPr>
        <w:t>They check providers are doing a good job:</w:t>
      </w:r>
      <w:r w:rsidRPr="00215A68">
        <w:t xml:space="preserve"> TEQSA checks to make sure providers are meeting those standards. This is called assuring the quality of higher education.</w:t>
      </w:r>
    </w:p>
    <w:p w14:paraId="48F7F495" w14:textId="77777777" w:rsidR="00512345" w:rsidRPr="00215A68" w:rsidRDefault="00512345" w:rsidP="00512345">
      <w:r w:rsidRPr="00215A68">
        <w:rPr>
          <w:b/>
          <w:bCs/>
        </w:rPr>
        <w:t>They can say 'no' or step in:</w:t>
      </w:r>
      <w:r w:rsidRPr="00215A68">
        <w:t xml:space="preserve"> If a provider isn't doing things properly (that is, </w:t>
      </w:r>
      <w:r>
        <w:t>not</w:t>
      </w:r>
      <w:r w:rsidRPr="00215A68">
        <w:t xml:space="preserve"> meeting the Threshold Standards), TEQSA can stop them from offering courses or make them fix problems.</w:t>
      </w:r>
    </w:p>
    <w:p w14:paraId="6B6ECD3F" w14:textId="77777777" w:rsidR="00512345" w:rsidRPr="00215A68" w:rsidRDefault="00512345" w:rsidP="00512345">
      <w:r w:rsidRPr="00215A68">
        <w:t>Students are at the heart of TEQSA’s work. The perspectives and lived experiences of students are so important to help TEQSA understand what risks are emerging across your campus and, more widely, Australia.</w:t>
      </w:r>
    </w:p>
    <w:p w14:paraId="14C4D0EB" w14:textId="77777777" w:rsidR="00512345" w:rsidRPr="00215A68" w:rsidRDefault="00512345" w:rsidP="00512345">
      <w:r w:rsidRPr="00215A68">
        <w:t xml:space="preserve">That’s why TEQSA is establishing a Student Advisory Panel, of 8-10 students </w:t>
      </w:r>
      <w:r>
        <w:t xml:space="preserve">with </w:t>
      </w:r>
      <w:r w:rsidRPr="00215A68">
        <w:t>diverse backgrounds</w:t>
      </w:r>
      <w:r>
        <w:t>, diverse experiences and from a range of higher education institutions</w:t>
      </w:r>
      <w:r w:rsidRPr="00215A68">
        <w:t xml:space="preserve"> across the country. Everyone is encouraged to apply – the only requirement is that you are currently enrolled as a student at a</w:t>
      </w:r>
      <w:r>
        <w:t>n Australian</w:t>
      </w:r>
      <w:r w:rsidRPr="00215A68">
        <w:t xml:space="preserve"> higher education provider. Students of all backgrounds and experiences will have valuable lived experiences to share.</w:t>
      </w:r>
    </w:p>
    <w:p w14:paraId="5D8F718E" w14:textId="77777777" w:rsidR="00512345" w:rsidRPr="00215A68" w:rsidRDefault="00512345" w:rsidP="00512345">
      <w:r w:rsidRPr="00215A68">
        <w:t>What’s in it for you? This is a unique opportunity to gain valuable advocacy experience at a national level and meet like-minded people, while working collaboratively to uplift the quality of higher education in Australia.</w:t>
      </w:r>
    </w:p>
    <w:p w14:paraId="6304388A" w14:textId="77777777" w:rsidR="00512345" w:rsidRPr="00215A68" w:rsidRDefault="00512345" w:rsidP="00512345">
      <w:r>
        <w:t>If selected, you will</w:t>
      </w:r>
      <w:r w:rsidRPr="00215A68">
        <w:t xml:space="preserve"> be bringing </w:t>
      </w:r>
      <w:r>
        <w:t>valuable insight about what matters most to students</w:t>
      </w:r>
      <w:r w:rsidRPr="00215A68">
        <w:t xml:space="preserve"> to the table, </w:t>
      </w:r>
      <w:r>
        <w:t xml:space="preserve">and </w:t>
      </w:r>
      <w:r w:rsidRPr="00215A68">
        <w:t>you’ll be paid</w:t>
      </w:r>
      <w:r>
        <w:t xml:space="preserve"> an honorarium</w:t>
      </w:r>
      <w:r w:rsidRPr="00215A68">
        <w:t xml:space="preserve"> for sharing your experiences and insights.</w:t>
      </w:r>
    </w:p>
    <w:p w14:paraId="33F9EBD0" w14:textId="77777777" w:rsidR="00512345" w:rsidRPr="00215A68" w:rsidRDefault="00512345" w:rsidP="00512345">
      <w:r w:rsidRPr="00215A68">
        <w:t>If you're interested in what happens 'on the ground' at your campus</w:t>
      </w:r>
      <w:r>
        <w:t>, and campuses across Australia,</w:t>
      </w:r>
      <w:r w:rsidRPr="00215A68">
        <w:t xml:space="preserve"> and making the quality of higher education better for everyone, </w:t>
      </w:r>
      <w:r>
        <w:t>express your interest in joining</w:t>
      </w:r>
      <w:r w:rsidRPr="00215A68">
        <w:t xml:space="preserve"> TEQSA's Student Advisory Panel.</w:t>
      </w:r>
    </w:p>
    <w:p w14:paraId="15D850B3" w14:textId="77777777" w:rsidR="00512345" w:rsidRPr="00215A68" w:rsidRDefault="00512345" w:rsidP="00512345">
      <w:r>
        <w:lastRenderedPageBreak/>
        <w:t>Submitting an expression of interest</w:t>
      </w:r>
      <w:r w:rsidRPr="00215A68">
        <w:t xml:space="preserve"> is easy, free and all online. Visit </w:t>
      </w:r>
      <w:r w:rsidRPr="00215A68">
        <w:rPr>
          <w:b/>
          <w:bCs/>
        </w:rPr>
        <w:t>elliottgray.com.au/TEQSA</w:t>
      </w:r>
      <w:r w:rsidRPr="00215A68">
        <w:t xml:space="preserve"> for more details.</w:t>
      </w:r>
    </w:p>
    <w:p w14:paraId="269C971B" w14:textId="77777777" w:rsidR="00512345" w:rsidRPr="00215A68" w:rsidRDefault="00512345" w:rsidP="00512345">
      <w:r w:rsidRPr="00215A68">
        <w:t>[ENDS]</w:t>
      </w:r>
    </w:p>
    <w:p w14:paraId="605DA380" w14:textId="77777777" w:rsidR="00512345" w:rsidRPr="00215A68" w:rsidRDefault="00512345" w:rsidP="00512345">
      <w:pPr>
        <w:rPr>
          <w:b/>
          <w:bCs/>
        </w:rPr>
      </w:pPr>
      <w:r w:rsidRPr="00215A68">
        <w:rPr>
          <w:b/>
          <w:bCs/>
        </w:rPr>
        <w:br w:type="page"/>
      </w:r>
    </w:p>
    <w:p w14:paraId="0356444A" w14:textId="77777777" w:rsidR="00512345" w:rsidRPr="00215A68" w:rsidRDefault="00512345" w:rsidP="00512345">
      <w:pPr>
        <w:pStyle w:val="Heading2"/>
        <w:rPr>
          <w:highlight w:val="yellow"/>
        </w:rPr>
      </w:pPr>
      <w:r w:rsidRPr="00215A68">
        <w:rPr>
          <w:highlight w:val="yellow"/>
        </w:rPr>
        <w:lastRenderedPageBreak/>
        <w:t>Promoter Toolkit: BLOG 2 (450 words): "</w:t>
      </w:r>
      <w:r>
        <w:rPr>
          <w:highlight w:val="yellow"/>
        </w:rPr>
        <w:t>Student</w:t>
      </w:r>
      <w:r w:rsidRPr="00215A68">
        <w:rPr>
          <w:highlight w:val="yellow"/>
        </w:rPr>
        <w:t xml:space="preserve"> experience is exactly what we need"</w:t>
      </w:r>
    </w:p>
    <w:p w14:paraId="1F8675BE" w14:textId="77777777" w:rsidR="00512345" w:rsidRPr="00215A68" w:rsidRDefault="00512345" w:rsidP="00512345">
      <w:pPr>
        <w:numPr>
          <w:ilvl w:val="0"/>
          <w:numId w:val="16"/>
        </w:numPr>
        <w:spacing w:before="0" w:after="160" w:line="278" w:lineRule="auto"/>
        <w:rPr>
          <w:b/>
          <w:bCs/>
        </w:rPr>
      </w:pPr>
      <w:r w:rsidRPr="00215A68">
        <w:rPr>
          <w:b/>
          <w:bCs/>
        </w:rPr>
        <w:t>Why lived experience matters more than qualifications here</w:t>
      </w:r>
    </w:p>
    <w:p w14:paraId="045FCFF8" w14:textId="77777777" w:rsidR="00512345" w:rsidRPr="00215A68" w:rsidRDefault="00512345" w:rsidP="00512345">
      <w:pPr>
        <w:numPr>
          <w:ilvl w:val="0"/>
          <w:numId w:val="16"/>
        </w:numPr>
        <w:spacing w:before="0" w:after="160" w:line="278" w:lineRule="auto"/>
        <w:rPr>
          <w:b/>
          <w:bCs/>
        </w:rPr>
      </w:pPr>
      <w:r w:rsidRPr="00215A68">
        <w:rPr>
          <w:b/>
          <w:bCs/>
        </w:rPr>
        <w:t>Speak directly to the 8 diversity groups</w:t>
      </w:r>
    </w:p>
    <w:p w14:paraId="6ABA1DAE" w14:textId="77777777" w:rsidR="00512345" w:rsidRPr="00215A68" w:rsidRDefault="00512345" w:rsidP="00512345">
      <w:pPr>
        <w:numPr>
          <w:ilvl w:val="0"/>
          <w:numId w:val="16"/>
        </w:numPr>
        <w:spacing w:before="0" w:after="160" w:line="278" w:lineRule="auto"/>
        <w:rPr>
          <w:b/>
          <w:bCs/>
        </w:rPr>
      </w:pPr>
      <w:r w:rsidRPr="00215A68">
        <w:rPr>
          <w:b/>
          <w:bCs/>
        </w:rPr>
        <w:t>Link to apply at the end (with a CTA) </w:t>
      </w:r>
    </w:p>
    <w:p w14:paraId="01118C15" w14:textId="77777777" w:rsidR="00512345" w:rsidRPr="00215A68" w:rsidRDefault="00512345" w:rsidP="00512345">
      <w:r w:rsidRPr="00215A68">
        <w:t>Why is it so valuable to have a real story to tell and a genuine experience to share? To hold a unique perspective gained only by living and breathing student life every day?</w:t>
      </w:r>
    </w:p>
    <w:p w14:paraId="1937BC60" w14:textId="77777777" w:rsidR="00512345" w:rsidRPr="00215A68" w:rsidRDefault="00512345" w:rsidP="00512345">
      <w:r w:rsidRPr="00215A68">
        <w:t xml:space="preserve">Because lived experience – shaped by the inevitable intersections of your culture, identity, community and education – is worth so much more than </w:t>
      </w:r>
      <w:r>
        <w:t>assumptions and</w:t>
      </w:r>
      <w:r w:rsidRPr="00215A68">
        <w:t xml:space="preserve"> theoretical </w:t>
      </w:r>
      <w:r>
        <w:t>understanding</w:t>
      </w:r>
      <w:r w:rsidRPr="00215A68">
        <w:t>.</w:t>
      </w:r>
    </w:p>
    <w:p w14:paraId="0A4271F1" w14:textId="77777777" w:rsidR="00512345" w:rsidRPr="00215A68" w:rsidRDefault="00512345" w:rsidP="00512345">
      <w:r w:rsidRPr="00215A68">
        <w:t xml:space="preserve">Think of it like this: qualifications tell you what someone has learned but lived experience </w:t>
      </w:r>
      <w:r>
        <w:t>is</w:t>
      </w:r>
      <w:r w:rsidRPr="00215A68">
        <w:t xml:space="preserve"> what they've been through.</w:t>
      </w:r>
    </w:p>
    <w:p w14:paraId="3219D8F8" w14:textId="77777777" w:rsidR="00512345" w:rsidRPr="00215A68" w:rsidRDefault="00512345" w:rsidP="00512345">
      <w:r w:rsidRPr="00215A68">
        <w:t xml:space="preserve">Students are at the heart of higher education in Australia, and their insights can contribute deeply to a national conversation about emerging risks, safety and wellbeing, quality of learning, equity and access. </w:t>
      </w:r>
    </w:p>
    <w:p w14:paraId="24A57CF2" w14:textId="77777777" w:rsidR="00512345" w:rsidRPr="00215A68" w:rsidRDefault="00512345" w:rsidP="00512345">
      <w:r w:rsidRPr="00215A68">
        <w:t xml:space="preserve">TEQSA is expanding the student voices </w:t>
      </w:r>
      <w:r>
        <w:t>they</w:t>
      </w:r>
      <w:r w:rsidRPr="00215A68">
        <w:t xml:space="preserve"> engage, beyond elected student representatives.</w:t>
      </w:r>
    </w:p>
    <w:p w14:paraId="7BB71FBF" w14:textId="77777777" w:rsidR="00512345" w:rsidRDefault="00512345" w:rsidP="00512345">
      <w:r w:rsidRPr="00215A68">
        <w:t>Th</w:t>
      </w:r>
      <w:r>
        <w:t>e</w:t>
      </w:r>
      <w:r w:rsidRPr="00215A68">
        <w:t xml:space="preserve"> national higher education regulator is doing this by establishing a Student Advisory Panel, the members of which will reflect the depth and complexity of the higher education sector. </w:t>
      </w:r>
    </w:p>
    <w:p w14:paraId="3B49E40D" w14:textId="77777777" w:rsidR="00512345" w:rsidRPr="00215A68" w:rsidRDefault="00512345" w:rsidP="00512345">
      <w:r w:rsidRPr="00215A68">
        <w:t xml:space="preserve">The perspectives and lived experiences of students </w:t>
      </w:r>
      <w:r>
        <w:t xml:space="preserve">will </w:t>
      </w:r>
      <w:r w:rsidRPr="00215A68">
        <w:t xml:space="preserve">help TEQSA inform their </w:t>
      </w:r>
      <w:r>
        <w:t>work</w:t>
      </w:r>
      <w:r w:rsidRPr="00215A68">
        <w:t>.</w:t>
      </w:r>
    </w:p>
    <w:p w14:paraId="1CBE9A1F" w14:textId="77777777" w:rsidR="00512345" w:rsidRPr="00215A68" w:rsidRDefault="00512345" w:rsidP="00512345">
      <w:r w:rsidRPr="00215A68">
        <w:t>TEQSA is strongly encouraging students with diverse backgrounds</w:t>
      </w:r>
      <w:r>
        <w:t>, diverse experiences</w:t>
      </w:r>
      <w:r w:rsidRPr="00215A68">
        <w:t xml:space="preserve"> and </w:t>
      </w:r>
      <w:r>
        <w:t>from a range of higher education institutions to express their interest</w:t>
      </w:r>
      <w:r w:rsidRPr="00215A68">
        <w:t>, including students who identify with one or more of these perspectives:</w:t>
      </w:r>
    </w:p>
    <w:p w14:paraId="572B511B" w14:textId="77777777" w:rsidR="00512345" w:rsidRPr="00215A68" w:rsidRDefault="00512345" w:rsidP="00512345">
      <w:pPr>
        <w:pStyle w:val="ListParagraph"/>
        <w:numPr>
          <w:ilvl w:val="0"/>
          <w:numId w:val="17"/>
        </w:numPr>
        <w:spacing w:before="0" w:after="160" w:line="278" w:lineRule="auto"/>
      </w:pPr>
      <w:r w:rsidRPr="00215A68">
        <w:t>students from regional and remote areas, or who are using a University Study Hub to undertake their studies</w:t>
      </w:r>
    </w:p>
    <w:p w14:paraId="33D35B57" w14:textId="77777777" w:rsidR="00512345" w:rsidRPr="00215A68" w:rsidRDefault="00512345" w:rsidP="00512345">
      <w:pPr>
        <w:pStyle w:val="ListParagraph"/>
        <w:numPr>
          <w:ilvl w:val="0"/>
          <w:numId w:val="17"/>
        </w:numPr>
        <w:spacing w:before="0" w:after="160" w:line="278" w:lineRule="auto"/>
      </w:pPr>
      <w:r w:rsidRPr="00215A68">
        <w:t>Aboriginal and Torres Strait Islander students</w:t>
      </w:r>
    </w:p>
    <w:p w14:paraId="4E63ECF9" w14:textId="77777777" w:rsidR="00512345" w:rsidRPr="00215A68" w:rsidRDefault="00512345" w:rsidP="00512345">
      <w:pPr>
        <w:pStyle w:val="ListParagraph"/>
        <w:numPr>
          <w:ilvl w:val="0"/>
          <w:numId w:val="17"/>
        </w:numPr>
        <w:spacing w:before="0" w:after="160" w:line="278" w:lineRule="auto"/>
      </w:pPr>
      <w:r w:rsidRPr="00215A68">
        <w:t>international students</w:t>
      </w:r>
    </w:p>
    <w:p w14:paraId="6A86FA86" w14:textId="77777777" w:rsidR="00512345" w:rsidRPr="00215A68" w:rsidRDefault="00512345" w:rsidP="00512345">
      <w:pPr>
        <w:pStyle w:val="ListParagraph"/>
        <w:numPr>
          <w:ilvl w:val="0"/>
          <w:numId w:val="17"/>
        </w:numPr>
        <w:spacing w:before="0" w:after="160" w:line="278" w:lineRule="auto"/>
      </w:pPr>
      <w:r w:rsidRPr="00215A68">
        <w:t>first in family students</w:t>
      </w:r>
    </w:p>
    <w:p w14:paraId="5745E05D" w14:textId="77777777" w:rsidR="00512345" w:rsidRPr="00215A68" w:rsidRDefault="00512345" w:rsidP="00512345">
      <w:pPr>
        <w:pStyle w:val="ListParagraph"/>
        <w:numPr>
          <w:ilvl w:val="0"/>
          <w:numId w:val="17"/>
        </w:numPr>
        <w:spacing w:before="0" w:after="160" w:line="278" w:lineRule="auto"/>
      </w:pPr>
      <w:r w:rsidRPr="00215A68">
        <w:t>students with lived experience of disability, mental health and/or neurodivergence</w:t>
      </w:r>
    </w:p>
    <w:p w14:paraId="2EBD2907" w14:textId="77777777" w:rsidR="00512345" w:rsidRPr="00215A68" w:rsidRDefault="00512345" w:rsidP="00512345">
      <w:pPr>
        <w:pStyle w:val="ListParagraph"/>
        <w:numPr>
          <w:ilvl w:val="0"/>
          <w:numId w:val="17"/>
        </w:numPr>
        <w:spacing w:before="0" w:after="160" w:line="278" w:lineRule="auto"/>
      </w:pPr>
      <w:r w:rsidRPr="00215A68">
        <w:t>LGBTQI+ students</w:t>
      </w:r>
    </w:p>
    <w:p w14:paraId="29DBB1D5" w14:textId="77777777" w:rsidR="00512345" w:rsidRPr="00215A68" w:rsidRDefault="00512345" w:rsidP="00512345">
      <w:pPr>
        <w:pStyle w:val="ListParagraph"/>
        <w:numPr>
          <w:ilvl w:val="0"/>
          <w:numId w:val="17"/>
        </w:numPr>
        <w:spacing w:before="0" w:after="160" w:line="278" w:lineRule="auto"/>
      </w:pPr>
      <w:r w:rsidRPr="00215A68">
        <w:t>students over the age of 21 or have returned to study after a break of 7 years or more</w:t>
      </w:r>
    </w:p>
    <w:p w14:paraId="6C420C5F" w14:textId="77777777" w:rsidR="00512345" w:rsidRPr="00215A68" w:rsidRDefault="00512345" w:rsidP="00512345">
      <w:pPr>
        <w:pStyle w:val="ListParagraph"/>
        <w:numPr>
          <w:ilvl w:val="0"/>
          <w:numId w:val="17"/>
        </w:numPr>
        <w:spacing w:before="0" w:after="160" w:line="278" w:lineRule="auto"/>
      </w:pPr>
      <w:r w:rsidRPr="00215A68">
        <w:t>part-time students</w:t>
      </w:r>
    </w:p>
    <w:p w14:paraId="3CE18A1B" w14:textId="77777777" w:rsidR="00512345" w:rsidRPr="00215A68" w:rsidRDefault="00512345" w:rsidP="00512345">
      <w:pPr>
        <w:pStyle w:val="ListParagraph"/>
        <w:numPr>
          <w:ilvl w:val="0"/>
          <w:numId w:val="17"/>
        </w:numPr>
        <w:spacing w:before="0" w:after="160" w:line="278" w:lineRule="auto"/>
      </w:pPr>
      <w:r w:rsidRPr="00215A68">
        <w:t>students undertaking course work or research.</w:t>
      </w:r>
    </w:p>
    <w:p w14:paraId="337BEF5F" w14:textId="77777777" w:rsidR="00512345" w:rsidRPr="00215A68" w:rsidRDefault="00512345" w:rsidP="00512345">
      <w:r w:rsidRPr="00215A68">
        <w:t xml:space="preserve">A student's lived experience matters even more when we’re talking about risks. </w:t>
      </w:r>
    </w:p>
    <w:p w14:paraId="349AE6E1" w14:textId="77777777" w:rsidR="00512345" w:rsidRPr="00215A68" w:rsidRDefault="00512345" w:rsidP="00512345">
      <w:r w:rsidRPr="00215A68">
        <w:t xml:space="preserve">Students are the people dealing with applications, classes, assessments, fees and support services every day. </w:t>
      </w:r>
      <w:r>
        <w:t xml:space="preserve">You know </w:t>
      </w:r>
      <w:r w:rsidRPr="00215A68">
        <w:t xml:space="preserve">what is working well within the sector, and where </w:t>
      </w:r>
      <w:r>
        <w:t>things could be better.</w:t>
      </w:r>
      <w:r w:rsidRPr="00215A68" w:rsidDel="00911A85">
        <w:t xml:space="preserve"> </w:t>
      </w:r>
    </w:p>
    <w:p w14:paraId="359817A3" w14:textId="77777777" w:rsidR="00512345" w:rsidRPr="00215A68" w:rsidRDefault="00512345" w:rsidP="00512345">
      <w:r w:rsidRPr="00215A68">
        <w:t xml:space="preserve">You experience the real impact </w:t>
      </w:r>
      <w:r>
        <w:t>of TEQSA’s work, and see how policies are put into practice every day</w:t>
      </w:r>
      <w:r w:rsidRPr="00215A68">
        <w:t xml:space="preserve">. </w:t>
      </w:r>
    </w:p>
    <w:p w14:paraId="26CF9026" w14:textId="77777777" w:rsidR="00512345" w:rsidRPr="00215A68" w:rsidRDefault="00512345" w:rsidP="00512345">
      <w:r>
        <w:lastRenderedPageBreak/>
        <w:t>S</w:t>
      </w:r>
      <w:r w:rsidRPr="00215A68">
        <w:t xml:space="preserve">tudents are 'on the ground'. </w:t>
      </w:r>
      <w:r>
        <w:t>Student</w:t>
      </w:r>
      <w:r w:rsidRPr="00215A68">
        <w:t xml:space="preserve"> perspective</w:t>
      </w:r>
      <w:r>
        <w:t xml:space="preserve">s are important in letting TEQSA know what matters most to students and provide valuable insight to TEQSA to inform their work. </w:t>
      </w:r>
    </w:p>
    <w:p w14:paraId="03D9C3AC" w14:textId="77777777" w:rsidR="00512345" w:rsidRPr="00215A68" w:rsidRDefault="00512345" w:rsidP="00512345">
      <w:r w:rsidRPr="00215A68">
        <w:t>If you're interested in what happens 'on the ground' at your campus</w:t>
      </w:r>
      <w:r>
        <w:t>, and campuses across Australia,</w:t>
      </w:r>
      <w:r w:rsidRPr="00215A68">
        <w:t xml:space="preserve"> and making the quality of higher education better for everyone no matter where </w:t>
      </w:r>
      <w:r>
        <w:t>they</w:t>
      </w:r>
      <w:r w:rsidRPr="00215A68">
        <w:t xml:space="preserve"> study, </w:t>
      </w:r>
      <w:r>
        <w:t xml:space="preserve">consider expressing your interest in </w:t>
      </w:r>
      <w:r w:rsidRPr="00215A68">
        <w:t>join</w:t>
      </w:r>
      <w:r>
        <w:t>ing</w:t>
      </w:r>
      <w:r w:rsidRPr="00215A68">
        <w:t xml:space="preserve"> TEQSA's Student Advisory Panel.</w:t>
      </w:r>
    </w:p>
    <w:p w14:paraId="543443FF" w14:textId="77777777" w:rsidR="00512345" w:rsidRDefault="00512345" w:rsidP="00512345">
      <w:r>
        <w:t>Submitting an expression of interest</w:t>
      </w:r>
      <w:r w:rsidRPr="00215A68">
        <w:t xml:space="preserve"> is easy, free and all online. </w:t>
      </w:r>
    </w:p>
    <w:p w14:paraId="74217569" w14:textId="77777777" w:rsidR="00512345" w:rsidRPr="00215A68" w:rsidRDefault="00512345" w:rsidP="00512345">
      <w:r w:rsidRPr="00215A68">
        <w:t xml:space="preserve">Visit </w:t>
      </w:r>
      <w:r w:rsidRPr="00215A68">
        <w:rPr>
          <w:b/>
          <w:bCs/>
        </w:rPr>
        <w:t>elliottgray.com.au/TEQSA</w:t>
      </w:r>
      <w:r w:rsidRPr="00215A68">
        <w:t xml:space="preserve"> for more details.</w:t>
      </w:r>
    </w:p>
    <w:p w14:paraId="42A22CF0" w14:textId="77777777" w:rsidR="00512345" w:rsidRPr="00215A68" w:rsidRDefault="00512345" w:rsidP="00512345">
      <w:r w:rsidRPr="00215A68">
        <w:t>[ENDS]</w:t>
      </w:r>
    </w:p>
    <w:p w14:paraId="174DD9C5" w14:textId="6922CD54" w:rsidR="00835AA1" w:rsidRPr="00512345" w:rsidRDefault="00835AA1" w:rsidP="00512345"/>
    <w:sectPr w:rsidR="00835AA1" w:rsidRPr="00512345" w:rsidSect="00835AA1">
      <w:footerReference w:type="default" r:id="rId16"/>
      <w:headerReference w:type="first" r:id="rId17"/>
      <w:footerReference w:type="first" r:id="rId18"/>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1108" w14:textId="77777777" w:rsidR="00DE382F" w:rsidRDefault="00DE382F" w:rsidP="006C328D">
      <w:pPr>
        <w:spacing w:before="0" w:after="0"/>
      </w:pPr>
      <w:r>
        <w:separator/>
      </w:r>
    </w:p>
  </w:endnote>
  <w:endnote w:type="continuationSeparator" w:id="0">
    <w:p w14:paraId="1B58C4C5" w14:textId="77777777" w:rsidR="00DE382F" w:rsidRDefault="00DE382F" w:rsidP="006C3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666A" w14:textId="6175E3A9" w:rsidR="00FF2540" w:rsidRPr="008402E0" w:rsidRDefault="00C727CB">
    <w:pPr>
      <w:pStyle w:val="Footer"/>
      <w:jc w:val="right"/>
      <w:rPr>
        <w:color w:val="004E7D"/>
        <w:sz w:val="20"/>
        <w:szCs w:val="20"/>
      </w:rPr>
    </w:pPr>
    <w:sdt>
      <w:sdtPr>
        <w:rPr>
          <w:color w:val="004E7D"/>
          <w:sz w:val="20"/>
          <w:szCs w:val="20"/>
        </w:rPr>
        <w:id w:val="-1988930592"/>
        <w:docPartObj>
          <w:docPartGallery w:val="Page Numbers (Bottom of Page)"/>
          <w:docPartUnique/>
        </w:docPartObj>
      </w:sdtPr>
      <w:sdtEndPr/>
      <w:sdtContent>
        <w:sdt>
          <w:sdtPr>
            <w:rPr>
              <w:color w:val="004E7D"/>
              <w:sz w:val="20"/>
              <w:szCs w:val="20"/>
            </w:rPr>
            <w:id w:val="860082579"/>
            <w:docPartObj>
              <w:docPartGallery w:val="Page Numbers (Top of Page)"/>
              <w:docPartUnique/>
            </w:docPartObj>
          </w:sdtPr>
          <w:sdtEndPr/>
          <w:sdtContent>
            <w:r w:rsidR="003E40BA">
              <w:rPr>
                <w:noProof/>
              </w:rPr>
              <mc:AlternateContent>
                <mc:Choice Requires="wps">
                  <w:drawing>
                    <wp:anchor distT="0" distB="0" distL="114300" distR="114300" simplePos="0" relativeHeight="251659264" behindDoc="0" locked="0" layoutInCell="1" allowOverlap="1" wp14:anchorId="78D98456" wp14:editId="4EECB1F1">
                      <wp:simplePos x="0" y="0"/>
                      <wp:positionH relativeFrom="page">
                        <wp:align>right</wp:align>
                      </wp:positionH>
                      <wp:positionV relativeFrom="paragraph">
                        <wp:posOffset>-209550</wp:posOffset>
                      </wp:positionV>
                      <wp:extent cx="920750" cy="920750"/>
                      <wp:effectExtent l="57150" t="57150" r="12700" b="12700"/>
                      <wp:wrapNone/>
                      <wp:docPr id="1" name="Right Triangle 1"/>
                      <wp:cNvGraphicFramePr/>
                      <a:graphic xmlns:a="http://schemas.openxmlformats.org/drawingml/2006/main">
                        <a:graphicData uri="http://schemas.microsoft.com/office/word/2010/wordprocessingShape">
                          <wps:wsp>
                            <wps:cNvSpPr/>
                            <wps:spPr>
                              <a:xfrm rot="16200000">
                                <a:off x="0" y="0"/>
                                <a:ext cx="920750" cy="920750"/>
                              </a:xfrm>
                              <a:prstGeom prst="rtTriangle">
                                <a:avLst/>
                              </a:prstGeom>
                              <a:solidFill>
                                <a:srgbClr val="F7941D"/>
                              </a:solidFill>
                              <a:ln w="41275">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A89691"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21.3pt;margin-top:-16.5pt;width:72.5pt;height:72.5pt;rotation:-90;z-index:2516592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" fillcolor="#f7941d" strokecolor="#f7caac [1305]" strokeweight="3.25pt">
                      <w10:wrap anchorx="page"/>
                    </v:shape>
                  </w:pict>
                </mc:Fallback>
              </mc:AlternateContent>
            </w:r>
            <w:r w:rsidR="00FF2540" w:rsidRPr="008402E0">
              <w:rPr>
                <w:color w:val="004E7D"/>
                <w:sz w:val="20"/>
                <w:szCs w:val="20"/>
              </w:rPr>
              <w:t xml:space="preserve">Page </w:t>
            </w:r>
            <w:r w:rsidR="00FF2540" w:rsidRPr="008402E0">
              <w:rPr>
                <w:b/>
                <w:bCs/>
                <w:color w:val="004E7D"/>
                <w:sz w:val="20"/>
                <w:szCs w:val="20"/>
              </w:rPr>
              <w:fldChar w:fldCharType="begin"/>
            </w:r>
            <w:r w:rsidR="00FF2540" w:rsidRPr="008402E0">
              <w:rPr>
                <w:b/>
                <w:bCs/>
                <w:color w:val="004E7D"/>
                <w:sz w:val="20"/>
                <w:szCs w:val="20"/>
              </w:rPr>
              <w:instrText xml:space="preserve"> PAGE </w:instrText>
            </w:r>
            <w:r w:rsidR="00FF2540" w:rsidRPr="008402E0">
              <w:rPr>
                <w:b/>
                <w:bCs/>
                <w:color w:val="004E7D"/>
                <w:sz w:val="20"/>
                <w:szCs w:val="20"/>
              </w:rPr>
              <w:fldChar w:fldCharType="separate"/>
            </w:r>
            <w:r w:rsidR="00FD6E53" w:rsidRPr="008402E0">
              <w:rPr>
                <w:b/>
                <w:bCs/>
                <w:noProof/>
                <w:color w:val="004E7D"/>
                <w:sz w:val="20"/>
                <w:szCs w:val="20"/>
              </w:rPr>
              <w:t>1</w:t>
            </w:r>
            <w:r w:rsidR="00FF2540" w:rsidRPr="008402E0">
              <w:rPr>
                <w:b/>
                <w:bCs/>
                <w:color w:val="004E7D"/>
                <w:sz w:val="20"/>
                <w:szCs w:val="20"/>
              </w:rPr>
              <w:fldChar w:fldCharType="end"/>
            </w:r>
            <w:r w:rsidR="00FF2540" w:rsidRPr="008402E0">
              <w:rPr>
                <w:color w:val="004E7D"/>
                <w:sz w:val="20"/>
                <w:szCs w:val="20"/>
              </w:rPr>
              <w:t xml:space="preserve"> of </w:t>
            </w:r>
            <w:r w:rsidR="00FF2540" w:rsidRPr="008402E0">
              <w:rPr>
                <w:b/>
                <w:bCs/>
                <w:color w:val="004E7D"/>
                <w:sz w:val="20"/>
                <w:szCs w:val="20"/>
              </w:rPr>
              <w:fldChar w:fldCharType="begin"/>
            </w:r>
            <w:r w:rsidR="00FF2540" w:rsidRPr="008402E0">
              <w:rPr>
                <w:b/>
                <w:bCs/>
                <w:color w:val="004E7D"/>
                <w:sz w:val="20"/>
                <w:szCs w:val="20"/>
              </w:rPr>
              <w:instrText xml:space="preserve"> NUMPAGES  </w:instrText>
            </w:r>
            <w:r w:rsidR="00FF2540" w:rsidRPr="008402E0">
              <w:rPr>
                <w:b/>
                <w:bCs/>
                <w:color w:val="004E7D"/>
                <w:sz w:val="20"/>
                <w:szCs w:val="20"/>
              </w:rPr>
              <w:fldChar w:fldCharType="separate"/>
            </w:r>
            <w:r w:rsidR="00FD6E53" w:rsidRPr="008402E0">
              <w:rPr>
                <w:b/>
                <w:bCs/>
                <w:noProof/>
                <w:color w:val="004E7D"/>
                <w:sz w:val="20"/>
                <w:szCs w:val="20"/>
              </w:rPr>
              <w:t>1</w:t>
            </w:r>
            <w:r w:rsidR="00FF2540" w:rsidRPr="008402E0">
              <w:rPr>
                <w:b/>
                <w:bCs/>
                <w:color w:val="004E7D"/>
                <w:sz w:val="20"/>
                <w:szCs w:val="20"/>
              </w:rPr>
              <w:fldChar w:fldCharType="end"/>
            </w:r>
          </w:sdtContent>
        </w:sdt>
      </w:sdtContent>
    </w:sdt>
  </w:p>
  <w:p w14:paraId="35FAC9C0" w14:textId="77777777" w:rsidR="00FF2540" w:rsidRDefault="00FF2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02B4" w14:textId="4E885817" w:rsidR="00037FA0" w:rsidRDefault="00037FA0" w:rsidP="00037FA0">
    <w:pPr>
      <w:pStyle w:val="Footer"/>
      <w:tabs>
        <w:tab w:val="clear" w:pos="4513"/>
      </w:tabs>
    </w:pPr>
    <w:r>
      <w:rPr>
        <w:noProof/>
      </w:rPr>
      <mc:AlternateContent>
        <mc:Choice Requires="wps">
          <w:drawing>
            <wp:anchor distT="0" distB="0" distL="114300" distR="114300" simplePos="0" relativeHeight="251661312" behindDoc="0" locked="0" layoutInCell="1" allowOverlap="1" wp14:anchorId="28A7FAF0" wp14:editId="63780E50">
              <wp:simplePos x="0" y="0"/>
              <wp:positionH relativeFrom="page">
                <wp:posOffset>6597650</wp:posOffset>
              </wp:positionH>
              <wp:positionV relativeFrom="paragraph">
                <wp:posOffset>-349250</wp:posOffset>
              </wp:positionV>
              <wp:extent cx="920750" cy="920750"/>
              <wp:effectExtent l="57150" t="57150" r="12700" b="12700"/>
              <wp:wrapNone/>
              <wp:docPr id="1509504402" name="Right Triangle 1509504402"/>
              <wp:cNvGraphicFramePr/>
              <a:graphic xmlns:a="http://schemas.openxmlformats.org/drawingml/2006/main">
                <a:graphicData uri="http://schemas.microsoft.com/office/word/2010/wordprocessingShape">
                  <wps:wsp>
                    <wps:cNvSpPr/>
                    <wps:spPr>
                      <a:xfrm rot="16200000">
                        <a:off x="0" y="0"/>
                        <a:ext cx="920750" cy="920750"/>
                      </a:xfrm>
                      <a:prstGeom prst="rtTriangle">
                        <a:avLst/>
                      </a:prstGeom>
                      <a:solidFill>
                        <a:srgbClr val="F7941D"/>
                      </a:solidFill>
                      <a:ln w="41275">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385C8F" id="_x0000_t6" coordsize="21600,21600" o:spt="6" path="m,l,21600r21600,xe">
              <v:stroke joinstyle="miter"/>
              <v:path gradientshapeok="t" o:connecttype="custom" o:connectlocs="0,0;0,10800;0,21600;10800,21600;21600,21600;10800,10800" textboxrect="1800,12600,12600,19800"/>
            </v:shapetype>
            <v:shape id="Right Triangle 1509504402" o:spid="_x0000_s1026" type="#_x0000_t6" style="position:absolute;margin-left:519.5pt;margin-top:-27.5pt;width:72.5pt;height:72.5pt;rotation:-90;z-index:2516613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" fillcolor="#f7941d" strokecolor="#f7caac [1305]" strokeweight="3.25pt">
              <w10:wrap anchorx="page"/>
            </v:shape>
          </w:pict>
        </mc:Fallback>
      </mc:AlternateContent>
    </w:r>
    <w:r>
      <w:tab/>
    </w:r>
    <w:sdt>
      <w:sdtPr>
        <w:rPr>
          <w:color w:val="004E7D"/>
          <w:sz w:val="20"/>
          <w:szCs w:val="20"/>
        </w:rPr>
        <w:id w:val="1259638036"/>
        <w:docPartObj>
          <w:docPartGallery w:val="Page Numbers (Top of Page)"/>
          <w:docPartUnique/>
        </w:docPartObj>
      </w:sdtPr>
      <w:sdtEndPr/>
      <w:sdtContent>
        <w:r>
          <w:rPr>
            <w:color w:val="004E7D"/>
            <w:sz w:val="20"/>
            <w:szCs w:val="20"/>
          </w:rPr>
          <w:t>pa</w:t>
        </w:r>
        <w:r w:rsidRPr="008402E0">
          <w:rPr>
            <w:color w:val="004E7D"/>
            <w:sz w:val="20"/>
            <w:szCs w:val="20"/>
          </w:rPr>
          <w:t xml:space="preserve">ge </w:t>
        </w:r>
        <w:r w:rsidRPr="008402E0">
          <w:rPr>
            <w:b/>
            <w:bCs/>
            <w:color w:val="004E7D"/>
            <w:sz w:val="20"/>
            <w:szCs w:val="20"/>
          </w:rPr>
          <w:fldChar w:fldCharType="begin"/>
        </w:r>
        <w:r w:rsidRPr="008402E0">
          <w:rPr>
            <w:b/>
            <w:bCs/>
            <w:color w:val="004E7D"/>
            <w:sz w:val="20"/>
            <w:szCs w:val="20"/>
          </w:rPr>
          <w:instrText xml:space="preserve"> PAGE </w:instrText>
        </w:r>
        <w:r w:rsidRPr="008402E0">
          <w:rPr>
            <w:b/>
            <w:bCs/>
            <w:color w:val="004E7D"/>
            <w:sz w:val="20"/>
            <w:szCs w:val="20"/>
          </w:rPr>
          <w:fldChar w:fldCharType="separate"/>
        </w:r>
        <w:r>
          <w:rPr>
            <w:b/>
            <w:bCs/>
            <w:color w:val="004E7D"/>
            <w:sz w:val="20"/>
            <w:szCs w:val="20"/>
          </w:rPr>
          <w:t>2</w:t>
        </w:r>
        <w:r w:rsidRPr="008402E0">
          <w:rPr>
            <w:b/>
            <w:bCs/>
            <w:color w:val="004E7D"/>
            <w:sz w:val="20"/>
            <w:szCs w:val="20"/>
          </w:rPr>
          <w:fldChar w:fldCharType="end"/>
        </w:r>
        <w:r w:rsidRPr="008402E0">
          <w:rPr>
            <w:color w:val="004E7D"/>
            <w:sz w:val="20"/>
            <w:szCs w:val="20"/>
          </w:rPr>
          <w:t xml:space="preserve"> of </w:t>
        </w:r>
        <w:r w:rsidRPr="008402E0">
          <w:rPr>
            <w:b/>
            <w:bCs/>
            <w:color w:val="004E7D"/>
            <w:sz w:val="20"/>
            <w:szCs w:val="20"/>
          </w:rPr>
          <w:fldChar w:fldCharType="begin"/>
        </w:r>
        <w:r w:rsidRPr="008402E0">
          <w:rPr>
            <w:b/>
            <w:bCs/>
            <w:color w:val="004E7D"/>
            <w:sz w:val="20"/>
            <w:szCs w:val="20"/>
          </w:rPr>
          <w:instrText xml:space="preserve"> NUMPAGES  </w:instrText>
        </w:r>
        <w:r w:rsidRPr="008402E0">
          <w:rPr>
            <w:b/>
            <w:bCs/>
            <w:color w:val="004E7D"/>
            <w:sz w:val="20"/>
            <w:szCs w:val="20"/>
          </w:rPr>
          <w:fldChar w:fldCharType="separate"/>
        </w:r>
        <w:r>
          <w:rPr>
            <w:b/>
            <w:bCs/>
            <w:color w:val="004E7D"/>
            <w:sz w:val="20"/>
            <w:szCs w:val="20"/>
          </w:rPr>
          <w:t>10</w:t>
        </w:r>
        <w:r w:rsidRPr="008402E0">
          <w:rPr>
            <w:b/>
            <w:bCs/>
            <w:color w:val="004E7D"/>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7605" w14:textId="77777777" w:rsidR="00DE382F" w:rsidRDefault="00DE382F" w:rsidP="006C328D">
      <w:pPr>
        <w:spacing w:before="0" w:after="0"/>
      </w:pPr>
      <w:r>
        <w:separator/>
      </w:r>
    </w:p>
  </w:footnote>
  <w:footnote w:type="continuationSeparator" w:id="0">
    <w:p w14:paraId="144E8EA8" w14:textId="77777777" w:rsidR="00DE382F" w:rsidRDefault="00DE382F" w:rsidP="006C328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2F5C" w14:textId="1BA82879" w:rsidR="00835AA1" w:rsidRDefault="00835AA1" w:rsidP="00835AA1">
    <w:pPr>
      <w:pStyle w:val="Header"/>
      <w:tabs>
        <w:tab w:val="clear" w:pos="9026"/>
        <w:tab w:val="right" w:pos="13892"/>
      </w:tabs>
      <w:jc w:val="center"/>
      <w:rPr>
        <w:b/>
        <w:i/>
        <w:color w:val="FF0000"/>
        <w:sz w:val="20"/>
        <w:szCs w:val="20"/>
      </w:rPr>
    </w:pPr>
  </w:p>
  <w:p w14:paraId="3C24A015" w14:textId="77777777" w:rsidR="00835AA1" w:rsidRPr="006C328D" w:rsidRDefault="00835AA1" w:rsidP="00835AA1">
    <w:pPr>
      <w:pStyle w:val="Header"/>
      <w:spacing w:after="240"/>
      <w:jc w:val="right"/>
      <w:rPr>
        <w:rFonts w:ascii="Georgia" w:hAnsi="Georgia" w:cs="Arial"/>
        <w:b/>
        <w:noProof/>
        <w:color w:val="004855"/>
        <w:sz w:val="28"/>
        <w:szCs w:val="28"/>
        <w:lang w:eastAsia="en-AU"/>
      </w:rPr>
    </w:pPr>
    <w:r>
      <w:rPr>
        <w:rFonts w:ascii="Georgia" w:hAnsi="Georgia" w:cs="Arial"/>
        <w:b/>
        <w:noProof/>
        <w:color w:val="004855"/>
        <w:sz w:val="28"/>
        <w:szCs w:val="28"/>
        <w:lang w:eastAsia="en-AU"/>
      </w:rPr>
      <w:t xml:space="preserve"> </w:t>
    </w:r>
    <w:r>
      <w:rPr>
        <w:rFonts w:ascii="Georgia" w:hAnsi="Georgia" w:cs="Arial"/>
        <w:b/>
        <w:noProof/>
        <w:color w:val="004855"/>
        <w:sz w:val="28"/>
        <w:szCs w:val="28"/>
        <w:lang w:eastAsia="en-AU"/>
      </w:rPr>
      <w:drawing>
        <wp:inline distT="0" distB="0" distL="0" distR="0" wp14:anchorId="641E204A" wp14:editId="72C9AED7">
          <wp:extent cx="3205353" cy="476804"/>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05353" cy="476804"/>
                  </a:xfrm>
                  <a:prstGeom prst="rect">
                    <a:avLst/>
                  </a:prstGeom>
                  <a:noFill/>
                  <a:ln>
                    <a:noFill/>
                  </a:ln>
                </pic:spPr>
              </pic:pic>
            </a:graphicData>
          </a:graphic>
        </wp:inline>
      </w:drawing>
    </w:r>
    <w:r>
      <w:rPr>
        <w:rFonts w:ascii="Georgia" w:hAnsi="Georgia" w:cs="Arial"/>
        <w:b/>
        <w:noProof/>
        <w:color w:val="004855"/>
        <w:sz w:val="28"/>
        <w:szCs w:val="28"/>
        <w:lang w:eastAsia="en-AU"/>
      </w:rPr>
      <w:tab/>
    </w:r>
    <w:r>
      <w:rPr>
        <w:rFonts w:ascii="Georgia" w:hAnsi="Georgia" w:cs="Arial"/>
        <w:b/>
        <w:noProof/>
        <w:color w:val="004855"/>
        <w:sz w:val="28"/>
        <w:szCs w:val="28"/>
        <w:lang w:eastAsia="en-AU"/>
      </w:rPr>
      <w:drawing>
        <wp:inline distT="0" distB="0" distL="0" distR="0" wp14:anchorId="3E4566E4" wp14:editId="07890B2E">
          <wp:extent cx="1425274" cy="353261"/>
          <wp:effectExtent l="0" t="0" r="3810" b="889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5274" cy="353261"/>
                  </a:xfrm>
                  <a:prstGeom prst="rect">
                    <a:avLst/>
                  </a:prstGeom>
                  <a:noFill/>
                  <a:ln>
                    <a:noFill/>
                  </a:ln>
                </pic:spPr>
              </pic:pic>
            </a:graphicData>
          </a:graphic>
        </wp:inline>
      </w:drawing>
    </w:r>
  </w:p>
  <w:p w14:paraId="3F2FA47E" w14:textId="77777777" w:rsidR="00835AA1" w:rsidRDefault="00835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bullet="t">
        <v:imagedata r:id="rId1" o:title="Teal-Triangles"/>
      </v:shape>
    </w:pict>
  </w:numPicBullet>
  <w:numPicBullet w:numPicBulletId="1">
    <w:pict>
      <v:shape id="_x0000_i1026" type="#_x0000_t75" style="width:1in;height:36pt" o:bullet="t">
        <v:imagedata r:id="rId2" o:title="Pink-Triangles"/>
      </v:shape>
    </w:pict>
  </w:numPicBullet>
  <w:numPicBullet w:numPicBulletId="2">
    <w:pict>
      <v:shape id="_x0000_i1027" type="#_x0000_t75" style="width:1in;height:36pt" o:bullet="t">
        <v:imagedata r:id="rId3" o:title="Yellow-Triangles"/>
      </v:shape>
    </w:pict>
  </w:numPicBullet>
  <w:abstractNum w:abstractNumId="0" w15:restartNumberingAfterBreak="0">
    <w:nsid w:val="0D104346"/>
    <w:multiLevelType w:val="multilevel"/>
    <w:tmpl w:val="48A66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E1CED"/>
    <w:multiLevelType w:val="hybridMultilevel"/>
    <w:tmpl w:val="C4C2D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E541A5"/>
    <w:multiLevelType w:val="multilevel"/>
    <w:tmpl w:val="63D68E2A"/>
    <w:lvl w:ilvl="0">
      <w:start w:val="1"/>
      <w:numFmt w:val="bullet"/>
      <w:pStyle w:val="Bullet1"/>
      <w:lvlText w:val=""/>
      <w:lvlJc w:val="left"/>
      <w:pPr>
        <w:ind w:left="284" w:hanging="284"/>
      </w:pPr>
      <w:rPr>
        <w:rFonts w:ascii="Symbol" w:hAnsi="Symbol" w:hint="default"/>
        <w:color w:val="004E7D"/>
      </w:rPr>
    </w:lvl>
    <w:lvl w:ilvl="1">
      <w:start w:val="1"/>
      <w:numFmt w:val="bullet"/>
      <w:lvlText w:val="–"/>
      <w:lvlJc w:val="left"/>
      <w:pPr>
        <w:ind w:left="568" w:hanging="284"/>
      </w:pPr>
      <w:rPr>
        <w:rFonts w:ascii="Arial" w:hAnsi="Arial" w:hint="default"/>
        <w:color w:val="00847E" w:themeColor="accent1"/>
      </w:rPr>
    </w:lvl>
    <w:lvl w:ilvl="2">
      <w:start w:val="1"/>
      <w:numFmt w:val="bullet"/>
      <w:lvlText w:val="»"/>
      <w:lvlJc w:val="left"/>
      <w:pPr>
        <w:ind w:left="852" w:hanging="284"/>
      </w:pPr>
      <w:rPr>
        <w:rFonts w:ascii="Arial" w:hAnsi="Arial" w:hint="default"/>
        <w:color w:val="00847E"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26D50250"/>
    <w:multiLevelType w:val="hybridMultilevel"/>
    <w:tmpl w:val="62A492F2"/>
    <w:lvl w:ilvl="0" w:tplc="CA78D74C">
      <w:start w:val="1"/>
      <w:numFmt w:val="bullet"/>
      <w:pStyle w:val="PullOut-Teal"/>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1761EE"/>
    <w:multiLevelType w:val="multilevel"/>
    <w:tmpl w:val="E96EA27E"/>
    <w:lvl w:ilvl="0">
      <w:start w:val="1"/>
      <w:numFmt w:val="decimal"/>
      <w:pStyle w:val="TableTitle"/>
      <w:lvlText w:val="Table %1."/>
      <w:lvlJc w:val="left"/>
      <w:pPr>
        <w:ind w:left="1134" w:hanging="1134"/>
      </w:pPr>
      <w:rPr>
        <w:rFonts w:hint="default"/>
        <w:b w:val="0"/>
        <w:i w:val="0"/>
        <w:caps w:val="0"/>
        <w:color w:val="004E7D"/>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5A332E"/>
    <w:multiLevelType w:val="multilevel"/>
    <w:tmpl w:val="94C85D9A"/>
    <w:lvl w:ilvl="0">
      <w:start w:val="1"/>
      <w:numFmt w:val="bullet"/>
      <w:lvlText w:val=""/>
      <w:lvlJc w:val="left"/>
      <w:pPr>
        <w:ind w:left="284" w:hanging="284"/>
      </w:pPr>
      <w:rPr>
        <w:rFonts w:ascii="Symbol" w:hAnsi="Symbol" w:hint="default"/>
        <w:color w:val="00847E" w:themeColor="accent1"/>
      </w:rPr>
    </w:lvl>
    <w:lvl w:ilvl="1">
      <w:start w:val="1"/>
      <w:numFmt w:val="bullet"/>
      <w:pStyle w:val="Bullet2"/>
      <w:lvlText w:val="–"/>
      <w:lvlJc w:val="left"/>
      <w:pPr>
        <w:ind w:left="568" w:hanging="284"/>
      </w:pPr>
      <w:rPr>
        <w:rFonts w:ascii="Arial" w:hAnsi="Arial" w:hint="default"/>
        <w:color w:val="004E7D"/>
      </w:rPr>
    </w:lvl>
    <w:lvl w:ilvl="2">
      <w:start w:val="1"/>
      <w:numFmt w:val="bullet"/>
      <w:pStyle w:val="Bullet3"/>
      <w:lvlText w:val="»"/>
      <w:lvlJc w:val="left"/>
      <w:pPr>
        <w:ind w:left="710" w:hanging="284"/>
      </w:pPr>
      <w:rPr>
        <w:rFonts w:ascii="Arial" w:hAnsi="Arial" w:hint="default"/>
        <w:color w:val="004E7D"/>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3C2D47AE"/>
    <w:multiLevelType w:val="hybridMultilevel"/>
    <w:tmpl w:val="43C43536"/>
    <w:lvl w:ilvl="0" w:tplc="93243402">
      <w:start w:val="1"/>
      <w:numFmt w:val="bullet"/>
      <w:pStyle w:val="PullOut-Yellow"/>
      <w:lvlText w:val=""/>
      <w:lvlPicBulletId w:val="2"/>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282D24"/>
    <w:multiLevelType w:val="hybridMultilevel"/>
    <w:tmpl w:val="D742AB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615703"/>
    <w:multiLevelType w:val="multilevel"/>
    <w:tmpl w:val="803CF862"/>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594F6627"/>
    <w:multiLevelType w:val="hybridMultilevel"/>
    <w:tmpl w:val="77D82B46"/>
    <w:lvl w:ilvl="0" w:tplc="B66A71E0">
      <w:start w:val="1"/>
      <w:numFmt w:val="bullet"/>
      <w:pStyle w:val="PullOut-Pink"/>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F51665"/>
    <w:multiLevelType w:val="multilevel"/>
    <w:tmpl w:val="BA4CA9E6"/>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pStyle w:val="Heading6Numbered"/>
      <w:lvlText w:val="%1.%2.%3.%4.%5.%6"/>
      <w:lvlJc w:val="left"/>
      <w:pPr>
        <w:ind w:left="1701" w:hanging="1701"/>
      </w:pPr>
      <w:rPr>
        <w:rFonts w:hint="default"/>
      </w:rPr>
    </w:lvl>
    <w:lvl w:ilvl="6">
      <w:start w:val="1"/>
      <w:numFmt w:val="decimal"/>
      <w:pStyle w:val="Heading7Numbered"/>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C283B55"/>
    <w:multiLevelType w:val="multilevel"/>
    <w:tmpl w:val="2A22B136"/>
    <w:lvl w:ilvl="0">
      <w:start w:val="1"/>
      <w:numFmt w:val="decimal"/>
      <w:pStyle w:val="FigureTitle"/>
      <w:lvlText w:val="Figure %1."/>
      <w:lvlJc w:val="left"/>
      <w:pPr>
        <w:ind w:left="1134" w:hanging="1134"/>
      </w:pPr>
      <w:rPr>
        <w:rFonts w:hint="default"/>
        <w:b w:val="0"/>
        <w:i w:val="0"/>
        <w:caps w:val="0"/>
        <w:color w:val="004E7D"/>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B212D40"/>
    <w:multiLevelType w:val="multilevel"/>
    <w:tmpl w:val="5C163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9C1F08"/>
    <w:multiLevelType w:val="multilevel"/>
    <w:tmpl w:val="6DC6B1AA"/>
    <w:lvl w:ilvl="0">
      <w:start w:val="1"/>
      <w:numFmt w:val="bullet"/>
      <w:lvlText w:val=""/>
      <w:lvlJc w:val="left"/>
      <w:pPr>
        <w:ind w:left="284" w:hanging="284"/>
      </w:pPr>
      <w:rPr>
        <w:rFonts w:ascii="Symbol" w:hAnsi="Symbol" w:hint="default"/>
        <w:color w:val="00847E" w:themeColor="accent1"/>
      </w:rPr>
    </w:lvl>
    <w:lvl w:ilvl="1">
      <w:start w:val="1"/>
      <w:numFmt w:val="bullet"/>
      <w:lvlText w:val=""/>
      <w:lvlJc w:val="left"/>
      <w:pPr>
        <w:ind w:left="568" w:hanging="284"/>
      </w:pPr>
      <w:rPr>
        <w:rFonts w:ascii="Symbol" w:hAnsi="Symbol" w:hint="default"/>
        <w:color w:val="004E7D"/>
      </w:rPr>
    </w:lvl>
    <w:lvl w:ilvl="2">
      <w:start w:val="1"/>
      <w:numFmt w:val="bullet"/>
      <w:lvlText w:val="»"/>
      <w:lvlJc w:val="left"/>
      <w:pPr>
        <w:ind w:left="852" w:hanging="284"/>
      </w:pPr>
      <w:rPr>
        <w:rFonts w:ascii="Arial" w:hAnsi="Arial" w:hint="default"/>
        <w:color w:val="00847E"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3B45" w:themeColor="text2"/>
      </w:rPr>
    </w:lvl>
    <w:lvl w:ilvl="3">
      <w:start w:val="1"/>
      <w:numFmt w:val="bullet"/>
      <w:lvlText w:val="»"/>
      <w:lvlJc w:val="left"/>
      <w:pPr>
        <w:ind w:left="794" w:hanging="510"/>
      </w:pPr>
      <w:rPr>
        <w:rFonts w:ascii="Arial" w:hAnsi="Arial" w:hint="default"/>
        <w:color w:val="003B45"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7EE44065"/>
    <w:multiLevelType w:val="multilevel"/>
    <w:tmpl w:val="CC9AB0EE"/>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56248020">
    <w:abstractNumId w:val="16"/>
  </w:num>
  <w:num w:numId="2" w16cid:durableId="1733236104">
    <w:abstractNumId w:val="15"/>
  </w:num>
  <w:num w:numId="3" w16cid:durableId="1089959203">
    <w:abstractNumId w:val="6"/>
  </w:num>
  <w:num w:numId="4" w16cid:durableId="290325751">
    <w:abstractNumId w:val="12"/>
  </w:num>
  <w:num w:numId="5" w16cid:durableId="1522089207">
    <w:abstractNumId w:val="11"/>
  </w:num>
  <w:num w:numId="6" w16cid:durableId="743258517">
    <w:abstractNumId w:val="9"/>
  </w:num>
  <w:num w:numId="7" w16cid:durableId="1371153072">
    <w:abstractNumId w:val="3"/>
  </w:num>
  <w:num w:numId="8" w16cid:durableId="481703697">
    <w:abstractNumId w:val="4"/>
  </w:num>
  <w:num w:numId="9" w16cid:durableId="431361276">
    <w:abstractNumId w:val="5"/>
  </w:num>
  <w:num w:numId="10" w16cid:durableId="969213471">
    <w:abstractNumId w:val="10"/>
  </w:num>
  <w:num w:numId="11" w16cid:durableId="600720537">
    <w:abstractNumId w:val="7"/>
  </w:num>
  <w:num w:numId="12" w16cid:durableId="631445574">
    <w:abstractNumId w:val="2"/>
  </w:num>
  <w:num w:numId="13" w16cid:durableId="1501119587">
    <w:abstractNumId w:val="14"/>
  </w:num>
  <w:num w:numId="14" w16cid:durableId="1789854437">
    <w:abstractNumId w:val="8"/>
  </w:num>
  <w:num w:numId="15" w16cid:durableId="946619587">
    <w:abstractNumId w:val="0"/>
  </w:num>
  <w:num w:numId="16" w16cid:durableId="1924755191">
    <w:abstractNumId w:val="13"/>
  </w:num>
  <w:num w:numId="17" w16cid:durableId="121557951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28D"/>
    <w:rsid w:val="00037FA0"/>
    <w:rsid w:val="001D46BE"/>
    <w:rsid w:val="001F39F5"/>
    <w:rsid w:val="00310F0F"/>
    <w:rsid w:val="00372FB2"/>
    <w:rsid w:val="003773D8"/>
    <w:rsid w:val="003E12E4"/>
    <w:rsid w:val="003E40BA"/>
    <w:rsid w:val="00420110"/>
    <w:rsid w:val="004C0765"/>
    <w:rsid w:val="004F6AAF"/>
    <w:rsid w:val="00512345"/>
    <w:rsid w:val="005409CF"/>
    <w:rsid w:val="00557514"/>
    <w:rsid w:val="005642C0"/>
    <w:rsid w:val="005B458E"/>
    <w:rsid w:val="00684663"/>
    <w:rsid w:val="006A55A2"/>
    <w:rsid w:val="006C328D"/>
    <w:rsid w:val="007248FC"/>
    <w:rsid w:val="007B01C8"/>
    <w:rsid w:val="007B31D5"/>
    <w:rsid w:val="007F78F7"/>
    <w:rsid w:val="00835AA1"/>
    <w:rsid w:val="008402E0"/>
    <w:rsid w:val="008F7517"/>
    <w:rsid w:val="00916350"/>
    <w:rsid w:val="009B769E"/>
    <w:rsid w:val="009E6619"/>
    <w:rsid w:val="00A45082"/>
    <w:rsid w:val="00B5474A"/>
    <w:rsid w:val="00C727CB"/>
    <w:rsid w:val="00D01439"/>
    <w:rsid w:val="00D14F43"/>
    <w:rsid w:val="00D717EC"/>
    <w:rsid w:val="00D90E08"/>
    <w:rsid w:val="00DE382F"/>
    <w:rsid w:val="00E37624"/>
    <w:rsid w:val="00E51A0F"/>
    <w:rsid w:val="00ED0421"/>
    <w:rsid w:val="00FB030E"/>
    <w:rsid w:val="00FD2ADF"/>
    <w:rsid w:val="00FD6E53"/>
    <w:rsid w:val="00FF25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0EF32FF"/>
  <w15:docId w15:val="{55DE76BA-4093-4B02-966F-8DC83696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ADF"/>
  </w:style>
  <w:style w:type="paragraph" w:styleId="Heading1">
    <w:name w:val="heading 1"/>
    <w:basedOn w:val="Normal"/>
    <w:next w:val="Normal"/>
    <w:link w:val="Heading1Char"/>
    <w:uiPriority w:val="9"/>
    <w:qFormat/>
    <w:rsid w:val="008402E0"/>
    <w:pPr>
      <w:keepNext/>
      <w:keepLines/>
      <w:pageBreakBefore/>
      <w:spacing w:before="0" w:after="1800" w:line="540" w:lineRule="atLeast"/>
      <w:outlineLvl w:val="0"/>
    </w:pPr>
    <w:rPr>
      <w:rFonts w:asciiTheme="majorHAnsi" w:eastAsiaTheme="majorEastAsia" w:hAnsiTheme="majorHAnsi" w:cstheme="majorBidi"/>
      <w:b/>
      <w:color w:val="004E7D"/>
      <w:sz w:val="48"/>
      <w:szCs w:val="32"/>
    </w:rPr>
  </w:style>
  <w:style w:type="paragraph" w:styleId="Heading2">
    <w:name w:val="heading 2"/>
    <w:basedOn w:val="Normal"/>
    <w:next w:val="Normal"/>
    <w:link w:val="Heading2Char"/>
    <w:uiPriority w:val="9"/>
    <w:qFormat/>
    <w:rsid w:val="008402E0"/>
    <w:pPr>
      <w:keepNext/>
      <w:keepLines/>
      <w:spacing w:before="480" w:after="240" w:line="500" w:lineRule="atLeast"/>
      <w:outlineLvl w:val="1"/>
    </w:pPr>
    <w:rPr>
      <w:rFonts w:asciiTheme="majorHAnsi" w:eastAsiaTheme="majorEastAsia" w:hAnsiTheme="majorHAnsi" w:cstheme="majorBidi"/>
      <w:color w:val="004E7D"/>
      <w:sz w:val="44"/>
      <w:szCs w:val="26"/>
    </w:rPr>
  </w:style>
  <w:style w:type="paragraph" w:styleId="Heading3">
    <w:name w:val="heading 3"/>
    <w:basedOn w:val="Normal"/>
    <w:next w:val="Normal"/>
    <w:link w:val="Heading3Char"/>
    <w:uiPriority w:val="9"/>
    <w:qFormat/>
    <w:rsid w:val="008402E0"/>
    <w:pPr>
      <w:keepNext/>
      <w:keepLines/>
      <w:spacing w:before="480" w:after="240" w:line="380" w:lineRule="atLeast"/>
      <w:outlineLvl w:val="2"/>
    </w:pPr>
    <w:rPr>
      <w:rFonts w:asciiTheme="majorHAnsi" w:eastAsiaTheme="majorEastAsia" w:hAnsiTheme="majorHAnsi" w:cstheme="majorBidi"/>
      <w:color w:val="004E7D"/>
      <w:sz w:val="32"/>
      <w:szCs w:val="24"/>
    </w:rPr>
  </w:style>
  <w:style w:type="paragraph" w:styleId="Heading4">
    <w:name w:val="heading 4"/>
    <w:basedOn w:val="Normal"/>
    <w:next w:val="Normal"/>
    <w:link w:val="Heading4Char"/>
    <w:uiPriority w:val="9"/>
    <w:qFormat/>
    <w:rsid w:val="005B458E"/>
    <w:pPr>
      <w:keepNext/>
      <w:keepLines/>
      <w:spacing w:before="360" w:after="180" w:line="280" w:lineRule="exact"/>
      <w:outlineLvl w:val="3"/>
    </w:pPr>
    <w:rPr>
      <w:rFonts w:eastAsiaTheme="majorEastAsia" w:cstheme="majorBidi"/>
      <w:b/>
      <w:iCs/>
      <w:color w:val="auto"/>
      <w:sz w:val="24"/>
    </w:rPr>
  </w:style>
  <w:style w:type="paragraph" w:styleId="Heading5">
    <w:name w:val="heading 5"/>
    <w:basedOn w:val="Normal"/>
    <w:next w:val="Normal"/>
    <w:link w:val="Heading5Char"/>
    <w:uiPriority w:val="9"/>
    <w:qFormat/>
    <w:rsid w:val="005B458E"/>
    <w:pPr>
      <w:keepNext/>
      <w:keepLines/>
      <w:spacing w:before="240"/>
      <w:outlineLvl w:val="4"/>
    </w:pPr>
    <w:rPr>
      <w:rFonts w:eastAsiaTheme="majorEastAsia" w:cstheme="majorBidi"/>
      <w:b/>
      <w:i/>
      <w:color w:val="auto"/>
    </w:rPr>
  </w:style>
  <w:style w:type="paragraph" w:styleId="Heading6">
    <w:name w:val="heading 6"/>
    <w:basedOn w:val="Normal"/>
    <w:next w:val="Normal"/>
    <w:link w:val="Heading6Char"/>
    <w:uiPriority w:val="9"/>
    <w:qFormat/>
    <w:rsid w:val="005B458E"/>
    <w:pPr>
      <w:keepNext/>
      <w:keepLines/>
      <w:outlineLvl w:val="5"/>
    </w:pPr>
    <w:rPr>
      <w:rFonts w:eastAsiaTheme="majorEastAsia" w:cstheme="majorBidi"/>
      <w:b/>
      <w:i/>
      <w:sz w:val="20"/>
      <w:szCs w:val="20"/>
    </w:rPr>
  </w:style>
  <w:style w:type="paragraph" w:styleId="Heading7">
    <w:name w:val="heading 7"/>
    <w:basedOn w:val="Normal"/>
    <w:next w:val="Normal"/>
    <w:link w:val="Heading7Char"/>
    <w:uiPriority w:val="9"/>
    <w:qFormat/>
    <w:rsid w:val="005B458E"/>
    <w:pPr>
      <w:keepNext/>
      <w:keepLines/>
      <w:outlineLvl w:val="6"/>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Numbered">
    <w:name w:val="Appendix Numbered"/>
    <w:basedOn w:val="Heading2"/>
    <w:uiPriority w:val="11"/>
    <w:qFormat/>
    <w:rsid w:val="005B458E"/>
    <w:pPr>
      <w:pageBreakBefore/>
      <w:numPr>
        <w:numId w:val="1"/>
      </w:numPr>
    </w:pPr>
    <w:rPr>
      <w:b/>
    </w:rPr>
  </w:style>
  <w:style w:type="character" w:customStyle="1" w:styleId="Heading2Char">
    <w:name w:val="Heading 2 Char"/>
    <w:basedOn w:val="DefaultParagraphFont"/>
    <w:link w:val="Heading2"/>
    <w:uiPriority w:val="9"/>
    <w:rsid w:val="008402E0"/>
    <w:rPr>
      <w:rFonts w:asciiTheme="majorHAnsi" w:eastAsiaTheme="majorEastAsia" w:hAnsiTheme="majorHAnsi" w:cstheme="majorBidi"/>
      <w:color w:val="004E7D"/>
      <w:sz w:val="44"/>
      <w:szCs w:val="26"/>
    </w:rPr>
  </w:style>
  <w:style w:type="paragraph" w:customStyle="1" w:styleId="Boxed1Text">
    <w:name w:val="Boxed 1 Text"/>
    <w:basedOn w:val="Normal"/>
    <w:uiPriority w:val="29"/>
    <w:qFormat/>
    <w:rsid w:val="005B458E"/>
    <w:pPr>
      <w:pBdr>
        <w:top w:val="single" w:sz="4" w:space="14" w:color="B3FFFB" w:themeColor="accent1" w:themeTint="33"/>
        <w:left w:val="single" w:sz="4" w:space="14" w:color="B3FFFB" w:themeColor="accent1" w:themeTint="33"/>
        <w:bottom w:val="single" w:sz="4" w:space="14" w:color="B3FFFB" w:themeColor="accent1" w:themeTint="33"/>
        <w:right w:val="single" w:sz="4" w:space="14" w:color="B3FFFB" w:themeColor="accent1" w:themeTint="33"/>
      </w:pBdr>
      <w:shd w:val="clear" w:color="auto" w:fill="B3FFFB" w:themeFill="accent1" w:themeFillTint="33"/>
      <w:spacing w:after="60" w:line="240" w:lineRule="atLeast"/>
      <w:ind w:left="284" w:right="284"/>
    </w:pPr>
  </w:style>
  <w:style w:type="paragraph" w:customStyle="1" w:styleId="Boxed1Bullet">
    <w:name w:val="Boxed 1 Bullet"/>
    <w:basedOn w:val="Boxed1Text"/>
    <w:uiPriority w:val="30"/>
    <w:qFormat/>
    <w:rsid w:val="005B458E"/>
    <w:pPr>
      <w:numPr>
        <w:numId w:val="2"/>
      </w:numPr>
    </w:pPr>
  </w:style>
  <w:style w:type="paragraph" w:customStyle="1" w:styleId="Boxed1Heading">
    <w:name w:val="Boxed 1 Heading"/>
    <w:basedOn w:val="Boxed1Text"/>
    <w:uiPriority w:val="29"/>
    <w:qFormat/>
    <w:rsid w:val="005B458E"/>
    <w:pPr>
      <w:keepNext/>
    </w:pPr>
    <w:rPr>
      <w:b/>
    </w:rPr>
  </w:style>
  <w:style w:type="paragraph" w:customStyle="1" w:styleId="Boxed2Text">
    <w:name w:val="Boxed 2 Text"/>
    <w:basedOn w:val="Boxed1Text"/>
    <w:uiPriority w:val="31"/>
    <w:qFormat/>
    <w:rsid w:val="005409CF"/>
    <w:pPr>
      <w:pBdr>
        <w:top w:val="single" w:sz="4" w:space="14" w:color="F7941D"/>
        <w:left w:val="single" w:sz="4" w:space="14" w:color="F7941D"/>
        <w:bottom w:val="single" w:sz="4" w:space="14" w:color="F7941D"/>
        <w:right w:val="single" w:sz="4" w:space="14" w:color="F7941D"/>
      </w:pBdr>
      <w:shd w:val="clear" w:color="auto" w:fill="auto"/>
    </w:pPr>
  </w:style>
  <w:style w:type="paragraph" w:customStyle="1" w:styleId="Boxed2Bullet">
    <w:name w:val="Boxed 2 Bullet"/>
    <w:basedOn w:val="Boxed2Text"/>
    <w:uiPriority w:val="32"/>
    <w:qFormat/>
    <w:rsid w:val="005642C0"/>
    <w:pPr>
      <w:numPr>
        <w:ilvl w:val="1"/>
        <w:numId w:val="2"/>
      </w:numPr>
    </w:pPr>
  </w:style>
  <w:style w:type="paragraph" w:customStyle="1" w:styleId="Boxed2Heading">
    <w:name w:val="Boxed 2 Heading"/>
    <w:basedOn w:val="Boxed2Text"/>
    <w:uiPriority w:val="31"/>
    <w:qFormat/>
    <w:rsid w:val="005409CF"/>
    <w:pPr>
      <w:keepNext/>
    </w:pPr>
    <w:rPr>
      <w:b/>
    </w:rPr>
  </w:style>
  <w:style w:type="paragraph" w:customStyle="1" w:styleId="Bullet1">
    <w:name w:val="Bullet 1"/>
    <w:basedOn w:val="Normal"/>
    <w:uiPriority w:val="2"/>
    <w:qFormat/>
    <w:rsid w:val="005642C0"/>
    <w:pPr>
      <w:numPr>
        <w:numId w:val="12"/>
      </w:numPr>
    </w:pPr>
  </w:style>
  <w:style w:type="paragraph" w:customStyle="1" w:styleId="Bullet2">
    <w:name w:val="Bullet 2"/>
    <w:basedOn w:val="Normal"/>
    <w:uiPriority w:val="2"/>
    <w:qFormat/>
    <w:rsid w:val="005B458E"/>
    <w:pPr>
      <w:numPr>
        <w:ilvl w:val="1"/>
        <w:numId w:val="3"/>
      </w:numPr>
    </w:pPr>
  </w:style>
  <w:style w:type="paragraph" w:customStyle="1" w:styleId="Bullet3">
    <w:name w:val="Bullet 3"/>
    <w:basedOn w:val="Normal"/>
    <w:uiPriority w:val="2"/>
    <w:qFormat/>
    <w:rsid w:val="005642C0"/>
    <w:pPr>
      <w:numPr>
        <w:ilvl w:val="2"/>
        <w:numId w:val="3"/>
      </w:numPr>
    </w:pPr>
  </w:style>
  <w:style w:type="paragraph" w:customStyle="1" w:styleId="FigureTitle">
    <w:name w:val="Figure Title"/>
    <w:basedOn w:val="Normal"/>
    <w:uiPriority w:val="12"/>
    <w:qFormat/>
    <w:rsid w:val="00557514"/>
    <w:pPr>
      <w:keepNext/>
      <w:numPr>
        <w:numId w:val="4"/>
      </w:numPr>
      <w:spacing w:before="240"/>
    </w:pPr>
    <w:rPr>
      <w:rFonts w:asciiTheme="majorHAnsi" w:hAnsiTheme="majorHAnsi"/>
      <w:color w:val="004E7D"/>
    </w:rPr>
  </w:style>
  <w:style w:type="paragraph" w:customStyle="1" w:styleId="Heading1Numbered">
    <w:name w:val="Heading 1 Numbered"/>
    <w:basedOn w:val="Heading1"/>
    <w:uiPriority w:val="10"/>
    <w:qFormat/>
    <w:rsid w:val="005B458E"/>
    <w:pPr>
      <w:numPr>
        <w:numId w:val="5"/>
      </w:numPr>
    </w:pPr>
  </w:style>
  <w:style w:type="character" w:customStyle="1" w:styleId="Heading1Char">
    <w:name w:val="Heading 1 Char"/>
    <w:basedOn w:val="DefaultParagraphFont"/>
    <w:link w:val="Heading1"/>
    <w:uiPriority w:val="9"/>
    <w:rsid w:val="008402E0"/>
    <w:rPr>
      <w:rFonts w:asciiTheme="majorHAnsi" w:eastAsiaTheme="majorEastAsia" w:hAnsiTheme="majorHAnsi" w:cstheme="majorBidi"/>
      <w:b/>
      <w:color w:val="004E7D"/>
      <w:sz w:val="48"/>
      <w:szCs w:val="32"/>
    </w:rPr>
  </w:style>
  <w:style w:type="paragraph" w:customStyle="1" w:styleId="Heading2Numbered">
    <w:name w:val="Heading 2 Numbered"/>
    <w:basedOn w:val="Heading2"/>
    <w:uiPriority w:val="10"/>
    <w:qFormat/>
    <w:rsid w:val="005B458E"/>
    <w:pPr>
      <w:numPr>
        <w:ilvl w:val="1"/>
        <w:numId w:val="5"/>
      </w:numPr>
    </w:pPr>
  </w:style>
  <w:style w:type="paragraph" w:customStyle="1" w:styleId="Heading3Numbered">
    <w:name w:val="Heading 3 Numbered"/>
    <w:basedOn w:val="Heading3"/>
    <w:uiPriority w:val="10"/>
    <w:qFormat/>
    <w:rsid w:val="005B458E"/>
    <w:pPr>
      <w:numPr>
        <w:ilvl w:val="2"/>
        <w:numId w:val="5"/>
      </w:numPr>
    </w:pPr>
  </w:style>
  <w:style w:type="character" w:customStyle="1" w:styleId="Heading3Char">
    <w:name w:val="Heading 3 Char"/>
    <w:basedOn w:val="DefaultParagraphFont"/>
    <w:link w:val="Heading3"/>
    <w:uiPriority w:val="9"/>
    <w:rsid w:val="008402E0"/>
    <w:rPr>
      <w:rFonts w:asciiTheme="majorHAnsi" w:eastAsiaTheme="majorEastAsia" w:hAnsiTheme="majorHAnsi" w:cstheme="majorBidi"/>
      <w:color w:val="004E7D"/>
      <w:sz w:val="32"/>
      <w:szCs w:val="24"/>
    </w:rPr>
  </w:style>
  <w:style w:type="paragraph" w:customStyle="1" w:styleId="Heading4Numbered">
    <w:name w:val="Heading 4 Numbered"/>
    <w:basedOn w:val="Heading4"/>
    <w:uiPriority w:val="10"/>
    <w:qFormat/>
    <w:rsid w:val="005B458E"/>
    <w:pPr>
      <w:numPr>
        <w:ilvl w:val="3"/>
        <w:numId w:val="5"/>
      </w:numPr>
    </w:pPr>
  </w:style>
  <w:style w:type="character" w:customStyle="1" w:styleId="Heading4Char">
    <w:name w:val="Heading 4 Char"/>
    <w:basedOn w:val="DefaultParagraphFont"/>
    <w:link w:val="Heading4"/>
    <w:uiPriority w:val="9"/>
    <w:rsid w:val="005B458E"/>
    <w:rPr>
      <w:rFonts w:eastAsiaTheme="majorEastAsia" w:cstheme="majorBidi"/>
      <w:b/>
      <w:iCs/>
      <w:color w:val="auto"/>
      <w:sz w:val="24"/>
    </w:rPr>
  </w:style>
  <w:style w:type="paragraph" w:customStyle="1" w:styleId="Heading5Numbered">
    <w:name w:val="Heading 5 Numbered"/>
    <w:basedOn w:val="Heading5"/>
    <w:uiPriority w:val="10"/>
    <w:qFormat/>
    <w:rsid w:val="005B458E"/>
    <w:pPr>
      <w:keepNext w:val="0"/>
      <w:numPr>
        <w:ilvl w:val="4"/>
        <w:numId w:val="5"/>
      </w:numPr>
    </w:pPr>
  </w:style>
  <w:style w:type="character" w:customStyle="1" w:styleId="Heading5Char">
    <w:name w:val="Heading 5 Char"/>
    <w:basedOn w:val="DefaultParagraphFont"/>
    <w:link w:val="Heading5"/>
    <w:uiPriority w:val="9"/>
    <w:rsid w:val="005B458E"/>
    <w:rPr>
      <w:rFonts w:eastAsiaTheme="majorEastAsia" w:cstheme="majorBidi"/>
      <w:b/>
      <w:i/>
      <w:color w:val="auto"/>
    </w:rPr>
  </w:style>
  <w:style w:type="paragraph" w:customStyle="1" w:styleId="Heading6Numbered">
    <w:name w:val="Heading 6 Numbered"/>
    <w:basedOn w:val="Heading6"/>
    <w:uiPriority w:val="10"/>
    <w:qFormat/>
    <w:rsid w:val="005B458E"/>
    <w:pPr>
      <w:keepNext w:val="0"/>
      <w:numPr>
        <w:ilvl w:val="5"/>
        <w:numId w:val="5"/>
      </w:numPr>
    </w:pPr>
    <w:rPr>
      <w:sz w:val="22"/>
      <w:szCs w:val="22"/>
    </w:rPr>
  </w:style>
  <w:style w:type="character" w:customStyle="1" w:styleId="Heading6Char">
    <w:name w:val="Heading 6 Char"/>
    <w:basedOn w:val="DefaultParagraphFont"/>
    <w:link w:val="Heading6"/>
    <w:uiPriority w:val="9"/>
    <w:rsid w:val="005B458E"/>
    <w:rPr>
      <w:rFonts w:eastAsiaTheme="majorEastAsia" w:cstheme="majorBidi"/>
      <w:b/>
      <w:i/>
      <w:sz w:val="20"/>
      <w:szCs w:val="20"/>
    </w:rPr>
  </w:style>
  <w:style w:type="paragraph" w:customStyle="1" w:styleId="Heading7Numbered">
    <w:name w:val="Heading 7 Numbered"/>
    <w:basedOn w:val="Heading7"/>
    <w:uiPriority w:val="10"/>
    <w:qFormat/>
    <w:rsid w:val="005B458E"/>
    <w:pPr>
      <w:numPr>
        <w:ilvl w:val="6"/>
        <w:numId w:val="5"/>
      </w:numPr>
    </w:pPr>
    <w:rPr>
      <w:sz w:val="22"/>
      <w:szCs w:val="22"/>
    </w:rPr>
  </w:style>
  <w:style w:type="character" w:customStyle="1" w:styleId="Heading7Char">
    <w:name w:val="Heading 7 Char"/>
    <w:basedOn w:val="DefaultParagraphFont"/>
    <w:link w:val="Heading7"/>
    <w:uiPriority w:val="9"/>
    <w:rsid w:val="005B458E"/>
    <w:rPr>
      <w:rFonts w:eastAsiaTheme="majorEastAsia" w:cstheme="majorBidi"/>
      <w:i/>
      <w:iCs/>
      <w:sz w:val="20"/>
      <w:szCs w:val="20"/>
    </w:rPr>
  </w:style>
  <w:style w:type="paragraph" w:customStyle="1" w:styleId="IntroPara">
    <w:name w:val="Intro Para"/>
    <w:basedOn w:val="Normal"/>
    <w:uiPriority w:val="1"/>
    <w:qFormat/>
    <w:rsid w:val="00B5474A"/>
    <w:pPr>
      <w:spacing w:before="240" w:after="240"/>
      <w:contextualSpacing/>
    </w:pPr>
    <w:rPr>
      <w:rFonts w:asciiTheme="majorHAnsi" w:hAnsiTheme="majorHAnsi"/>
      <w:color w:val="004E7D"/>
    </w:rPr>
  </w:style>
  <w:style w:type="paragraph" w:customStyle="1" w:styleId="List1Numbered1">
    <w:name w:val="List 1 Numbered 1"/>
    <w:basedOn w:val="Normal"/>
    <w:uiPriority w:val="2"/>
    <w:qFormat/>
    <w:rsid w:val="005B458E"/>
    <w:pPr>
      <w:numPr>
        <w:numId w:val="6"/>
      </w:numPr>
    </w:pPr>
  </w:style>
  <w:style w:type="paragraph" w:customStyle="1" w:styleId="List1Numbered2">
    <w:name w:val="List 1 Numbered 2"/>
    <w:basedOn w:val="Normal"/>
    <w:uiPriority w:val="2"/>
    <w:qFormat/>
    <w:rsid w:val="005B458E"/>
    <w:pPr>
      <w:numPr>
        <w:ilvl w:val="1"/>
        <w:numId w:val="6"/>
      </w:numPr>
    </w:pPr>
  </w:style>
  <w:style w:type="paragraph" w:customStyle="1" w:styleId="List1Numbered3">
    <w:name w:val="List 1 Numbered 3"/>
    <w:basedOn w:val="Normal"/>
    <w:uiPriority w:val="2"/>
    <w:qFormat/>
    <w:rsid w:val="005B458E"/>
    <w:pPr>
      <w:numPr>
        <w:ilvl w:val="2"/>
        <w:numId w:val="6"/>
      </w:numPr>
    </w:pPr>
  </w:style>
  <w:style w:type="paragraph" w:customStyle="1" w:styleId="NormalIndent5mm">
    <w:name w:val="Normal Indent 5mm"/>
    <w:basedOn w:val="Normal"/>
    <w:qFormat/>
    <w:rsid w:val="005B458E"/>
    <w:pPr>
      <w:ind w:left="284"/>
    </w:pPr>
  </w:style>
  <w:style w:type="paragraph" w:customStyle="1" w:styleId="PullOut-Teal">
    <w:name w:val="Pull Out - Teal"/>
    <w:basedOn w:val="Normal"/>
    <w:uiPriority w:val="22"/>
    <w:rsid w:val="00D01439"/>
    <w:pPr>
      <w:numPr>
        <w:numId w:val="7"/>
      </w:numPr>
      <w:spacing w:before="480" w:after="480" w:line="340" w:lineRule="atLeast"/>
    </w:pPr>
    <w:rPr>
      <w:color w:val="004E7D"/>
      <w:sz w:val="28"/>
    </w:rPr>
  </w:style>
  <w:style w:type="paragraph" w:customStyle="1" w:styleId="SourceNotes">
    <w:name w:val="Source Notes"/>
    <w:basedOn w:val="Normal"/>
    <w:uiPriority w:val="21"/>
    <w:qFormat/>
    <w:rsid w:val="005B458E"/>
    <w:pPr>
      <w:spacing w:before="60" w:after="60"/>
    </w:pPr>
    <w:rPr>
      <w:sz w:val="16"/>
    </w:rPr>
  </w:style>
  <w:style w:type="paragraph" w:customStyle="1" w:styleId="SourceNotesHeading">
    <w:name w:val="Source Notes Heading"/>
    <w:basedOn w:val="SourceNotes"/>
    <w:uiPriority w:val="20"/>
    <w:qFormat/>
    <w:rsid w:val="005B458E"/>
    <w:pPr>
      <w:spacing w:before="120"/>
    </w:pPr>
    <w:rPr>
      <w:rFonts w:asciiTheme="majorHAnsi" w:hAnsiTheme="majorHAnsi"/>
      <w:b/>
    </w:rPr>
  </w:style>
  <w:style w:type="paragraph" w:customStyle="1" w:styleId="SourceNotesNumbered">
    <w:name w:val="Source Notes Numbered"/>
    <w:basedOn w:val="SourceNotes"/>
    <w:uiPriority w:val="21"/>
    <w:qFormat/>
    <w:rsid w:val="005B458E"/>
    <w:pPr>
      <w:numPr>
        <w:numId w:val="8"/>
      </w:numPr>
    </w:pPr>
  </w:style>
  <w:style w:type="paragraph" w:customStyle="1" w:styleId="TableTitle">
    <w:name w:val="Table Title"/>
    <w:basedOn w:val="FigureTitle"/>
    <w:uiPriority w:val="12"/>
    <w:qFormat/>
    <w:rsid w:val="005B458E"/>
    <w:pPr>
      <w:numPr>
        <w:numId w:val="9"/>
      </w:numPr>
    </w:pPr>
  </w:style>
  <w:style w:type="paragraph" w:customStyle="1" w:styleId="PullOut-Pink">
    <w:name w:val="Pull Out - Pink"/>
    <w:basedOn w:val="PullOut-Teal"/>
    <w:uiPriority w:val="22"/>
    <w:rsid w:val="005B458E"/>
    <w:pPr>
      <w:numPr>
        <w:numId w:val="10"/>
      </w:numPr>
    </w:pPr>
  </w:style>
  <w:style w:type="paragraph" w:customStyle="1" w:styleId="PullOut-Yellow">
    <w:name w:val="Pull Out - Yellow"/>
    <w:basedOn w:val="PullOut-Teal"/>
    <w:qFormat/>
    <w:rsid w:val="005B458E"/>
    <w:pPr>
      <w:numPr>
        <w:numId w:val="11"/>
      </w:numPr>
    </w:pPr>
  </w:style>
  <w:style w:type="paragraph" w:styleId="Caption">
    <w:name w:val="caption"/>
    <w:basedOn w:val="Normal"/>
    <w:next w:val="Normal"/>
    <w:uiPriority w:val="19"/>
    <w:qFormat/>
    <w:rsid w:val="00557514"/>
    <w:pPr>
      <w:spacing w:before="180" w:after="480" w:line="200" w:lineRule="atLeast"/>
      <w:ind w:right="2268"/>
    </w:pPr>
    <w:rPr>
      <w:rFonts w:asciiTheme="majorHAnsi" w:hAnsiTheme="majorHAnsi"/>
      <w:iCs/>
      <w:color w:val="004E7D"/>
      <w:sz w:val="16"/>
      <w:szCs w:val="18"/>
    </w:rPr>
  </w:style>
  <w:style w:type="paragraph" w:styleId="Title">
    <w:name w:val="Title"/>
    <w:basedOn w:val="Normal"/>
    <w:next w:val="Normal"/>
    <w:link w:val="TitleChar"/>
    <w:uiPriority w:val="22"/>
    <w:qFormat/>
    <w:rsid w:val="008402E0"/>
    <w:pPr>
      <w:keepLines/>
      <w:spacing w:before="0" w:after="360" w:line="640" w:lineRule="exact"/>
      <w:contextualSpacing/>
      <w:outlineLvl w:val="0"/>
    </w:pPr>
    <w:rPr>
      <w:rFonts w:asciiTheme="majorHAnsi" w:eastAsiaTheme="majorEastAsia" w:hAnsiTheme="majorHAnsi" w:cstheme="majorBidi"/>
      <w:color w:val="004E7D"/>
      <w:kern w:val="28"/>
      <w:sz w:val="60"/>
      <w:szCs w:val="56"/>
    </w:rPr>
  </w:style>
  <w:style w:type="character" w:customStyle="1" w:styleId="TitleChar">
    <w:name w:val="Title Char"/>
    <w:basedOn w:val="DefaultParagraphFont"/>
    <w:link w:val="Title"/>
    <w:uiPriority w:val="22"/>
    <w:rsid w:val="008402E0"/>
    <w:rPr>
      <w:rFonts w:asciiTheme="majorHAnsi" w:eastAsiaTheme="majorEastAsia" w:hAnsiTheme="majorHAnsi" w:cstheme="majorBidi"/>
      <w:color w:val="004E7D"/>
      <w:kern w:val="28"/>
      <w:sz w:val="60"/>
      <w:szCs w:val="56"/>
    </w:rPr>
  </w:style>
  <w:style w:type="paragraph" w:styleId="Subtitle">
    <w:name w:val="Subtitle"/>
    <w:basedOn w:val="Normal"/>
    <w:next w:val="Normal"/>
    <w:link w:val="SubtitleChar"/>
    <w:uiPriority w:val="23"/>
    <w:qFormat/>
    <w:rsid w:val="00D01439"/>
    <w:pPr>
      <w:keepLines/>
      <w:numPr>
        <w:ilvl w:val="1"/>
      </w:numPr>
      <w:spacing w:before="360" w:after="360" w:line="280" w:lineRule="exact"/>
      <w:contextualSpacing/>
    </w:pPr>
    <w:rPr>
      <w:rFonts w:eastAsiaTheme="minorEastAsia"/>
      <w:color w:val="004E7D"/>
      <w:sz w:val="24"/>
    </w:rPr>
  </w:style>
  <w:style w:type="character" w:customStyle="1" w:styleId="SubtitleChar">
    <w:name w:val="Subtitle Char"/>
    <w:basedOn w:val="DefaultParagraphFont"/>
    <w:link w:val="Subtitle"/>
    <w:uiPriority w:val="23"/>
    <w:rsid w:val="00D01439"/>
    <w:rPr>
      <w:rFonts w:eastAsiaTheme="minorEastAsia"/>
      <w:color w:val="004E7D"/>
      <w:sz w:val="24"/>
    </w:rPr>
  </w:style>
  <w:style w:type="character" w:styleId="Strong">
    <w:name w:val="Strong"/>
    <w:basedOn w:val="DefaultParagraphFont"/>
    <w:uiPriority w:val="33"/>
    <w:qFormat/>
    <w:rsid w:val="005B458E"/>
    <w:rPr>
      <w:b/>
      <w:bCs/>
    </w:rPr>
  </w:style>
  <w:style w:type="character" w:styleId="Emphasis">
    <w:name w:val="Emphasis"/>
    <w:basedOn w:val="DefaultParagraphFont"/>
    <w:uiPriority w:val="33"/>
    <w:qFormat/>
    <w:rsid w:val="005B458E"/>
    <w:rPr>
      <w:i/>
      <w:iCs/>
    </w:rPr>
  </w:style>
  <w:style w:type="paragraph" w:styleId="NoSpacing">
    <w:name w:val="No Spacing"/>
    <w:uiPriority w:val="1"/>
    <w:qFormat/>
    <w:rsid w:val="005B458E"/>
    <w:pPr>
      <w:spacing w:after="0"/>
    </w:pPr>
  </w:style>
  <w:style w:type="character" w:styleId="IntenseEmphasis">
    <w:name w:val="Intense Emphasis"/>
    <w:basedOn w:val="DefaultParagraphFont"/>
    <w:uiPriority w:val="33"/>
    <w:qFormat/>
    <w:rsid w:val="005B458E"/>
    <w:rPr>
      <w:b/>
      <w:i/>
      <w:iCs/>
      <w:color w:val="000000" w:themeColor="text1"/>
    </w:rPr>
  </w:style>
  <w:style w:type="paragraph" w:styleId="TOCHeading">
    <w:name w:val="TOC Heading"/>
    <w:basedOn w:val="Heading1"/>
    <w:next w:val="Normal"/>
    <w:uiPriority w:val="39"/>
    <w:qFormat/>
    <w:rsid w:val="005B458E"/>
    <w:pPr>
      <w:outlineLvl w:val="9"/>
    </w:pPr>
  </w:style>
  <w:style w:type="paragraph" w:styleId="Header">
    <w:name w:val="header"/>
    <w:basedOn w:val="Normal"/>
    <w:link w:val="HeaderChar"/>
    <w:uiPriority w:val="99"/>
    <w:unhideWhenUsed/>
    <w:rsid w:val="006C328D"/>
    <w:pPr>
      <w:tabs>
        <w:tab w:val="center" w:pos="4513"/>
        <w:tab w:val="right" w:pos="9026"/>
      </w:tabs>
      <w:spacing w:before="0" w:after="0"/>
    </w:pPr>
  </w:style>
  <w:style w:type="character" w:customStyle="1" w:styleId="HeaderChar">
    <w:name w:val="Header Char"/>
    <w:basedOn w:val="DefaultParagraphFont"/>
    <w:link w:val="Header"/>
    <w:uiPriority w:val="99"/>
    <w:rsid w:val="006C328D"/>
  </w:style>
  <w:style w:type="paragraph" w:styleId="Footer">
    <w:name w:val="footer"/>
    <w:basedOn w:val="Normal"/>
    <w:link w:val="FooterChar"/>
    <w:uiPriority w:val="99"/>
    <w:unhideWhenUsed/>
    <w:rsid w:val="006C328D"/>
    <w:pPr>
      <w:tabs>
        <w:tab w:val="center" w:pos="4513"/>
        <w:tab w:val="right" w:pos="9026"/>
      </w:tabs>
      <w:spacing w:before="0" w:after="0"/>
    </w:pPr>
  </w:style>
  <w:style w:type="character" w:customStyle="1" w:styleId="FooterChar">
    <w:name w:val="Footer Char"/>
    <w:basedOn w:val="DefaultParagraphFont"/>
    <w:link w:val="Footer"/>
    <w:uiPriority w:val="99"/>
    <w:rsid w:val="006C328D"/>
  </w:style>
  <w:style w:type="paragraph" w:styleId="BalloonText">
    <w:name w:val="Balloon Text"/>
    <w:basedOn w:val="Normal"/>
    <w:link w:val="BalloonTextChar"/>
    <w:uiPriority w:val="99"/>
    <w:semiHidden/>
    <w:unhideWhenUsed/>
    <w:rsid w:val="006C328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28D"/>
    <w:rPr>
      <w:rFonts w:ascii="Tahoma" w:hAnsi="Tahoma" w:cs="Tahoma"/>
      <w:sz w:val="16"/>
      <w:szCs w:val="16"/>
    </w:rPr>
  </w:style>
  <w:style w:type="character" w:styleId="IntenseReference">
    <w:name w:val="Intense Reference"/>
    <w:basedOn w:val="DefaultParagraphFont"/>
    <w:uiPriority w:val="32"/>
    <w:qFormat/>
    <w:rsid w:val="00D01439"/>
    <w:rPr>
      <w:b/>
      <w:bCs/>
      <w:smallCaps/>
      <w:color w:val="004E7D"/>
      <w:spacing w:val="5"/>
    </w:rPr>
  </w:style>
  <w:style w:type="paragraph" w:styleId="IntenseQuote">
    <w:name w:val="Intense Quote"/>
    <w:basedOn w:val="Normal"/>
    <w:next w:val="Normal"/>
    <w:link w:val="IntenseQuoteChar"/>
    <w:uiPriority w:val="30"/>
    <w:rsid w:val="005409CF"/>
    <w:pPr>
      <w:pBdr>
        <w:top w:val="single" w:sz="4" w:space="10" w:color="00847E" w:themeColor="accent1"/>
        <w:bottom w:val="single" w:sz="4" w:space="10" w:color="00847E" w:themeColor="accent1"/>
      </w:pBdr>
      <w:spacing w:before="360" w:after="360"/>
      <w:ind w:left="864" w:right="864"/>
      <w:jc w:val="center"/>
    </w:pPr>
    <w:rPr>
      <w:i/>
      <w:iCs/>
      <w:color w:val="004E7D"/>
    </w:rPr>
  </w:style>
  <w:style w:type="character" w:customStyle="1" w:styleId="IntenseQuoteChar">
    <w:name w:val="Intense Quote Char"/>
    <w:basedOn w:val="DefaultParagraphFont"/>
    <w:link w:val="IntenseQuote"/>
    <w:uiPriority w:val="30"/>
    <w:rsid w:val="005409CF"/>
    <w:rPr>
      <w:i/>
      <w:iCs/>
      <w:color w:val="004E7D"/>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420110"/>
    <w:pPr>
      <w:ind w:left="720"/>
      <w:contextualSpacing/>
    </w:pPr>
  </w:style>
  <w:style w:type="character" w:styleId="Hyperlink">
    <w:name w:val="Hyperlink"/>
    <w:basedOn w:val="DefaultParagraphFont"/>
    <w:uiPriority w:val="99"/>
    <w:semiHidden/>
    <w:unhideWhenUsed/>
    <w:rsid w:val="00FD2ADF"/>
    <w:rPr>
      <w:color w:val="004E7D"/>
      <w:u w:val="single"/>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link w:val="ListParagraph"/>
    <w:uiPriority w:val="34"/>
    <w:rsid w:val="0051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QSA">
      <a:dk1>
        <a:srgbClr val="000000"/>
      </a:dk1>
      <a:lt1>
        <a:sysClr val="window" lastClr="FFFFFF"/>
      </a:lt1>
      <a:dk2>
        <a:srgbClr val="003B45"/>
      </a:dk2>
      <a:lt2>
        <a:srgbClr val="E7E6E6"/>
      </a:lt2>
      <a:accent1>
        <a:srgbClr val="00847E"/>
      </a:accent1>
      <a:accent2>
        <a:srgbClr val="003B45"/>
      </a:accent2>
      <a:accent3>
        <a:srgbClr val="F37A8A"/>
      </a:accent3>
      <a:accent4>
        <a:srgbClr val="FEC553"/>
      </a:accent4>
      <a:accent5>
        <a:srgbClr val="A2DADD"/>
      </a:accent5>
      <a:accent6>
        <a:srgbClr val="ED7D31"/>
      </a:accent6>
      <a:hlink>
        <a:srgbClr val="00847E"/>
      </a:hlink>
      <a:folHlink>
        <a:srgbClr val="00847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qsaDocumentType xmlns="28b94040-26a8-469a-8038-0c82e6a14f19">
      <Value>Template</Value>
    </TeqsaDocumentType>
    <TeqsaTeam xmlns="28b94040-26a8-469a-8038-0c82e6a14f19">
      <Value>Brand</Value>
      <Value>Communications</Value>
      <Value>Engagement</Value>
    </TeqsaTeam>
    <Owner xmlns="979ab06a-6535-4638-b59f-980faa50cb4b">
      <UserInfo>
        <DisplayName>Tom Hewitt-McManus</DisplayName>
        <AccountId>20</AccountId>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Resource Item" ma:contentTypeID="0x01010037581DFBB9924576A005A4A1995DD10D001BC120C84BAF1049BC9567D96DB3AF79" ma:contentTypeVersion="12" ma:contentTypeDescription="Resource Item" ma:contentTypeScope="" ma:versionID="caa89690c45928c5d6871465b7dab209">
  <xsd:schema xmlns:xsd="http://www.w3.org/2001/XMLSchema" xmlns:xs="http://www.w3.org/2001/XMLSchema" xmlns:p="http://schemas.microsoft.com/office/2006/metadata/properties" xmlns:ns2="28b94040-26a8-469a-8038-0c82e6a14f19" xmlns:ns3="979ab06a-6535-4638-b59f-980faa50cb4b" targetNamespace="http://schemas.microsoft.com/office/2006/metadata/properties" ma:root="true" ma:fieldsID="ea0e75d168fa359b3957fa39394ca2d5" ns2:_="" ns3:_="">
    <xsd:import namespace="28b94040-26a8-469a-8038-0c82e6a14f19"/>
    <xsd:import namespace="979ab06a-6535-4638-b59f-980faa50cb4b"/>
    <xsd:element name="properties">
      <xsd:complexType>
        <xsd:sequence>
          <xsd:element name="documentManagement">
            <xsd:complexType>
              <xsd:all>
                <xsd:element ref="ns2:TeqsaDocumentType" minOccurs="0"/>
                <xsd:element ref="ns2:TeqsaTeam" minOccurs="0"/>
                <xsd:element ref="ns3: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94040-26a8-469a-8038-0c82e6a14f19" elementFormDefault="qualified">
    <xsd:import namespace="http://schemas.microsoft.com/office/2006/documentManagement/types"/>
    <xsd:import namespace="http://schemas.microsoft.com/office/infopath/2007/PartnerControls"/>
    <xsd:element name="TeqsaDocumentType" ma:index="1" nillable="true" ma:displayName="Type" ma:format="Dropdown" ma:internalName="TeqsaDocumentType" ma:requiredMultiChoice="true">
      <xsd:complexType>
        <xsd:complexContent>
          <xsd:extension base="dms:MultiChoice">
            <xsd:sequence>
              <xsd:element name="Value" maxOccurs="unbounded" minOccurs="0" nillable="true">
                <xsd:simpleType>
                  <xsd:restriction base="dms:Choice">
                    <xsd:enumeration value="Policy"/>
                    <xsd:enumeration value="Procedure"/>
                    <xsd:enumeration value="Form"/>
                    <xsd:enumeration value="Template"/>
                    <xsd:enumeration value="Communique"/>
                    <xsd:enumeration value="Knowledge Article"/>
                    <xsd:enumeration value="Other"/>
                  </xsd:restriction>
                </xsd:simpleType>
              </xsd:element>
            </xsd:sequence>
          </xsd:extension>
        </xsd:complexContent>
      </xsd:complexType>
    </xsd:element>
    <xsd:element name="TeqsaTeam" ma:index="2" nillable="true" ma:displayName="Team" ma:format="Dropdown" ma:internalName="TeqsaTeam" ma:requiredMultiChoice="true">
      <xsd:complexType>
        <xsd:complexContent>
          <xsd:extension base="dms:MultiChoice">
            <xsd:sequence>
              <xsd:element name="Value" maxOccurs="unbounded" minOccurs="0" nillable="true">
                <xsd:simpleType>
                  <xsd:restriction base="dms:Choice">
                    <xsd:enumeration value="Acknowledgement of Country"/>
                    <xsd:enumeration value="Annual Report"/>
                    <xsd:enumeration value="APS Employee Census"/>
                    <xsd:enumeration value="Assessment and Investigations"/>
                    <xsd:enumeration value="Assurance"/>
                    <xsd:enumeration value="Brand"/>
                    <xsd:enumeration value="Business Solutions"/>
                    <xsd:enumeration value="Case Management Handbook"/>
                    <xsd:enumeration value="Commission"/>
                    <xsd:enumeration value="Communications"/>
                    <xsd:enumeration value="Compliance and Investigations"/>
                    <xsd:enumeration value="Corporate"/>
                    <xsd:enumeration value="COVIDSafe"/>
                    <xsd:enumeration value="CRIS"/>
                    <xsd:enumeration value="CRM"/>
                    <xsd:enumeration value="Culture and Values"/>
                    <xsd:enumeration value="ELT"/>
                    <xsd:enumeration value="Emergency"/>
                    <xsd:enumeration value="Employee Assistance Program"/>
                    <xsd:enumeration value="Engagement"/>
                    <xsd:enumeration value="Enterprise Agreement"/>
                    <xsd:enumeration value="Executive Office"/>
                    <xsd:enumeration value="Experts and Events"/>
                    <xsd:enumeration value="Facilities"/>
                    <xsd:enumeration value="Finance"/>
                    <xsd:enumeration value="Governance"/>
                    <xsd:enumeration value="Harassment Contact Officers"/>
                    <xsd:enumeration value="Higher Education Integrity Unit"/>
                    <xsd:enumeration value="HR Policies and Procedures"/>
                    <xsd:enumeration value="ICT"/>
                    <xsd:enumeration value="Inclusion and Diversity"/>
                    <xsd:enumeration value="IT"/>
                    <xsd:enumeration value="Learning Committee"/>
                    <xsd:enumeration value="Learning Development"/>
                    <xsd:enumeration value="Legal"/>
                    <xsd:enumeration value="Library"/>
                    <xsd:enumeration value="Mental Health"/>
                    <xsd:enumeration value="Orientation"/>
                    <xsd:enumeration value="Parliamentary Liaison"/>
                    <xsd:enumeration value="People and Capability"/>
                    <xsd:enumeration value="Policy and Analysis"/>
                    <xsd:enumeration value="Policy and Research"/>
                    <xsd:enumeration value="Provider Category Standards"/>
                    <xsd:enumeration value="Provider Management Solution"/>
                    <xsd:enumeration value="Quality Assurance"/>
                    <xsd:enumeration value="Reception"/>
                    <xsd:enumeration value="Recognition and Awards"/>
                    <xsd:enumeration value="Records Management"/>
                    <xsd:enumeration value="Records Management Project"/>
                    <xsd:enumeration value="Regulatory Operations"/>
                    <xsd:enumeration value="RUOK"/>
                    <xsd:enumeration value="Secretariat"/>
                    <xsd:enumeration value="Security"/>
                    <xsd:enumeration value="SMT"/>
                    <xsd:enumeration value="Social club"/>
                    <xsd:enumeration value="Social media"/>
                    <xsd:enumeration value="Specialisation"/>
                    <xsd:enumeration value="Staff Consultative Committee"/>
                    <xsd:enumeration value="Thematic Analysis"/>
                    <xsd:enumeration value="TRAC"/>
                    <xsd:enumeration value="Updates for Staff"/>
                    <xsd:enumeration value="Work Health and Safety Committe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ab06a-6535-4638-b59f-980faa50cb4b" elementFormDefault="qualified">
    <xsd:import namespace="http://schemas.microsoft.com/office/2006/documentManagement/types"/>
    <xsd:import namespace="http://schemas.microsoft.com/office/infopath/2007/PartnerControls"/>
    <xsd:element name="Owner" ma:index="10"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E1C12-8773-409A-B29D-4FC4E6BF5F01}">
  <ds:schemaRefs>
    <ds:schemaRef ds:uri="http://schemas.microsoft.com/office/2006/metadata/properties"/>
    <ds:schemaRef ds:uri="http://schemas.microsoft.com/office/infopath/2007/PartnerControls"/>
    <ds:schemaRef ds:uri="28b94040-26a8-469a-8038-0c82e6a14f19"/>
    <ds:schemaRef ds:uri="979ab06a-6535-4638-b59f-980faa50cb4b"/>
  </ds:schemaRefs>
</ds:datastoreItem>
</file>

<file path=customXml/itemProps2.xml><?xml version="1.0" encoding="utf-8"?>
<ds:datastoreItem xmlns:ds="http://schemas.openxmlformats.org/officeDocument/2006/customXml" ds:itemID="{218C126A-17D9-40CD-B260-A74D9FAB5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94040-26a8-469a-8038-0c82e6a14f19"/>
    <ds:schemaRef ds:uri="979ab06a-6535-4638-b59f-980faa50c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04000-4C02-43D1-9ADE-7BFA19C142FE}">
  <ds:schemaRefs>
    <ds:schemaRef ds:uri="http://schemas.openxmlformats.org/officeDocument/2006/bibliography"/>
  </ds:schemaRefs>
</ds:datastoreItem>
</file>

<file path=customXml/itemProps4.xml><?xml version="1.0" encoding="utf-8"?>
<ds:datastoreItem xmlns:ds="http://schemas.openxmlformats.org/officeDocument/2006/customXml" ds:itemID="{226614D6-DA47-4A88-BB0E-7C89098DA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1756</Words>
  <Characters>9648</Characters>
  <Application>Microsoft Office Word</Application>
  <DocSecurity>0</DocSecurity>
  <Lines>197</Lines>
  <Paragraphs>98</Paragraphs>
  <ScaleCrop>false</ScaleCrop>
  <HeadingPairs>
    <vt:vector size="2" baseType="variant">
      <vt:variant>
        <vt:lpstr>Title</vt:lpstr>
      </vt:variant>
      <vt:variant>
        <vt:i4>1</vt:i4>
      </vt:variant>
    </vt:vector>
  </HeadingPairs>
  <TitlesOfParts>
    <vt:vector size="1" baseType="lpstr">
      <vt:lpstr>Memo Template</vt:lpstr>
    </vt:vector>
  </TitlesOfParts>
  <Company>Tertiary Education Quality and Standards Agency</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creator>Tom Hewitt-McManus</dc:creator>
  <cp:keywords>[SEC=UNOFFICIAL]</cp:keywords>
  <cp:lastModifiedBy>Tom Hewitt-McManus</cp:lastModifiedBy>
  <cp:revision>6</cp:revision>
  <dcterms:created xsi:type="dcterms:W3CDTF">2026-04-15T03:53:00Z</dcterms:created>
  <dcterms:modified xsi:type="dcterms:W3CDTF">2026-04-15T04:03:00Z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0x01010037581DFBB9924576A005A4A1995DD10D001BC120C84BAF1049BC9567D96DB3AF79</vt:lpwstr>
  </property>
  <property fmtid="{D5CDD505-2E9C-101B-9397-08002B2CF9AE}" pid="3" name="Team">
    <vt:lpwstr>45;#Comms and International|f1db5572-7306-443e-a442-d56c9f2c52d1</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v=2022.1;a=SHA256;h=3FA317C370BC928D3578A409E9CB30904096B45933DE480248A9B222560C3384</vt:lpwstr>
  </property>
  <property fmtid="{D5CDD505-2E9C-101B-9397-08002B2CF9AE}" pid="9" name="PM_Qualifier">
    <vt:lpwstr/>
  </property>
  <property fmtid="{D5CDD505-2E9C-101B-9397-08002B2CF9AE}" pid="10" name="PM_SecurityClassification">
    <vt:lpwstr>UNOFFICIAL</vt:lpwstr>
  </property>
  <property fmtid="{D5CDD505-2E9C-101B-9397-08002B2CF9AE}" pid="11" name="PM_ProtectiveMarkingValue_Header">
    <vt:lpwstr>UNOFFICIAL</vt:lpwstr>
  </property>
  <property fmtid="{D5CDD505-2E9C-101B-9397-08002B2CF9AE}" pid="12" name="PM_OriginationTimeStamp">
    <vt:lpwstr>2026-04-15T03:56:04Z</vt:lpwstr>
  </property>
  <property fmtid="{D5CDD505-2E9C-101B-9397-08002B2CF9AE}" pid="13" name="PM_Markers">
    <vt:lpwstr/>
  </property>
  <property fmtid="{D5CDD505-2E9C-101B-9397-08002B2CF9AE}" pid="14" name="PM_InsertionValue">
    <vt:lpwstr>UNOFFICIAL</vt:lpwstr>
  </property>
  <property fmtid="{D5CDD505-2E9C-101B-9397-08002B2CF9AE}" pid="15" name="PM_Originator_Hash_SHA1">
    <vt:lpwstr>62651C896F027337B0917591A88E0831BADB0F30</vt:lpwstr>
  </property>
  <property fmtid="{D5CDD505-2E9C-101B-9397-08002B2CF9AE}" pid="16" name="PM_DisplayValueSecClassificationWithQualifier">
    <vt:lpwstr>UNOFFICIAL</vt:lpwstr>
  </property>
  <property fmtid="{D5CDD505-2E9C-101B-9397-08002B2CF9AE}" pid="17" name="PM_Originating_FileId">
    <vt:lpwstr>42FADCE2A2F845DBAC8DED1764DAB345</vt:lpwstr>
  </property>
  <property fmtid="{D5CDD505-2E9C-101B-9397-08002B2CF9AE}" pid="18" name="PM_ProtectiveMarkingValue_Footer">
    <vt:lpwstr>UNOFFICIAL</vt:lpwstr>
  </property>
  <property fmtid="{D5CDD505-2E9C-101B-9397-08002B2CF9AE}" pid="19" name="PM_ProtectiveMarkingImage_Header">
    <vt:lpwstr>C:\Program Files\Common Files\janusNET Shared\janusSEAL\Images\DocumentSlashBlue.png</vt:lpwstr>
  </property>
  <property fmtid="{D5CDD505-2E9C-101B-9397-08002B2CF9AE}" pid="20" name="PM_ProtectiveMarkingImage_Footer">
    <vt:lpwstr>C:\Program Files\Common Files\janusNET Shared\janusSEAL\Images\DocumentSlashBlue.png</vt:lpwstr>
  </property>
  <property fmtid="{D5CDD505-2E9C-101B-9397-08002B2CF9AE}" pid="21" name="PM_Display">
    <vt:lpwstr>UNOFFICIAL</vt:lpwstr>
  </property>
  <property fmtid="{D5CDD505-2E9C-101B-9397-08002B2CF9AE}" pid="22" name="PM_OriginatorUserAccountName_SHA256">
    <vt:lpwstr>CFBE9EA95CBB88E2F7B8752707BAE6AEB1998AE5520D6094ECCC44AD28AAD5C8</vt:lpwstr>
  </property>
  <property fmtid="{D5CDD505-2E9C-101B-9397-08002B2CF9AE}" pid="23" name="PM_OriginatorDomainName_SHA256">
    <vt:lpwstr>0C3D4C92EC8F38444BA78741E5B5836F9817C3740155E164E6696E5C1131B3E3</vt:lpwstr>
  </property>
  <property fmtid="{D5CDD505-2E9C-101B-9397-08002B2CF9AE}" pid="24" name="PMUuid">
    <vt:lpwstr>v=2022.2;d=gov.au;g=65417EFE-F3B9-5E66-BD91-1E689FEC2EA6</vt:lpwstr>
  </property>
  <property fmtid="{D5CDD505-2E9C-101B-9397-08002B2CF9AE}" pid="25" name="PM_Hash_Version">
    <vt:lpwstr>2022.1</vt:lpwstr>
  </property>
  <property fmtid="{D5CDD505-2E9C-101B-9397-08002B2CF9AE}" pid="26" name="PM_Hash_Salt_Prev">
    <vt:lpwstr>CC5879D5CED6FB8FFE134A7548E43BDE</vt:lpwstr>
  </property>
  <property fmtid="{D5CDD505-2E9C-101B-9397-08002B2CF9AE}" pid="27" name="PM_Hash_Salt">
    <vt:lpwstr>E3298F8E718AF6DF2AD9142A763000A5</vt:lpwstr>
  </property>
  <property fmtid="{D5CDD505-2E9C-101B-9397-08002B2CF9AE}" pid="28" name="PM_Hash_SHA1">
    <vt:lpwstr>DF0169E40E9C17302C1A7D56DD8D23708A3F5B54</vt:lpwstr>
  </property>
  <property fmtid="{D5CDD505-2E9C-101B-9397-08002B2CF9AE}" pid="29" name="PM_SecurityClassification_Prev">
    <vt:lpwstr>UNOFFICIAL</vt:lpwstr>
  </property>
  <property fmtid="{D5CDD505-2E9C-101B-9397-08002B2CF9AE}" pid="30" name="PM_Qualifier_Prev">
    <vt:lpwstr/>
  </property>
</Properties>
</file>